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11F788B7" w:rsidR="00656EE7" w:rsidRPr="00B53A40" w:rsidRDefault="00344713" w:rsidP="00C22B29">
      <w:pPr>
        <w:spacing w:after="0"/>
        <w:contextualSpacing/>
        <w:rPr>
          <w:rFonts w:ascii="Arial" w:hAnsi="Arial" w:cs="Arial"/>
          <w:b/>
          <w:sz w:val="24"/>
          <w:szCs w:val="24"/>
          <w:lang w:val="en-US" w:eastAsia="zh-CN"/>
        </w:rPr>
      </w:pPr>
      <w:r w:rsidRPr="00B53A40">
        <w:rPr>
          <w:rFonts w:ascii="Arial" w:hAnsi="Arial" w:cs="Arial"/>
          <w:b/>
          <w:sz w:val="24"/>
          <w:szCs w:val="24"/>
          <w:lang w:val="en-US" w:eastAsia="zh-CN"/>
        </w:rPr>
        <w:t>3GPP TSG-RAN</w:t>
      </w:r>
      <w:r w:rsidR="00C22B29" w:rsidRPr="00B53A40">
        <w:rPr>
          <w:rFonts w:ascii="Arial" w:hAnsi="Arial" w:cs="Arial"/>
          <w:b/>
          <w:sz w:val="24"/>
          <w:szCs w:val="24"/>
          <w:lang w:val="en-US" w:eastAsia="zh-CN"/>
        </w:rPr>
        <w:t xml:space="preserve"> WG4 </w:t>
      </w:r>
      <w:r w:rsidRPr="00B53A40">
        <w:rPr>
          <w:rFonts w:ascii="Arial" w:hAnsi="Arial" w:cs="Arial"/>
          <w:b/>
          <w:sz w:val="24"/>
          <w:szCs w:val="24"/>
          <w:lang w:val="en-US" w:eastAsia="zh-CN"/>
        </w:rPr>
        <w:t>Meeting #</w:t>
      </w:r>
      <w:r w:rsidR="00C22B29" w:rsidRPr="00B53A40">
        <w:rPr>
          <w:rFonts w:ascii="Arial" w:hAnsi="Arial" w:cs="Arial"/>
          <w:b/>
          <w:sz w:val="24"/>
          <w:szCs w:val="24"/>
          <w:lang w:val="en-US" w:eastAsia="zh-CN"/>
        </w:rPr>
        <w:t>9</w:t>
      </w:r>
      <w:r w:rsidR="00A93208">
        <w:rPr>
          <w:rFonts w:ascii="Arial" w:hAnsi="Arial" w:cs="Arial"/>
          <w:b/>
          <w:sz w:val="24"/>
          <w:szCs w:val="24"/>
          <w:lang w:val="en-US" w:eastAsia="zh-CN"/>
        </w:rPr>
        <w:t>8</w:t>
      </w:r>
      <w:r w:rsidRPr="00B53A40">
        <w:rPr>
          <w:rFonts w:ascii="Arial" w:hAnsi="Arial" w:cs="Arial"/>
          <w:b/>
          <w:sz w:val="24"/>
          <w:szCs w:val="24"/>
          <w:lang w:val="en-US" w:eastAsia="zh-CN"/>
        </w:rPr>
        <w:t xml:space="preserve">e </w:t>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r>
      <w:r w:rsidRPr="00B53A40">
        <w:rPr>
          <w:rFonts w:ascii="Arial" w:hAnsi="Arial" w:cs="Arial"/>
          <w:b/>
          <w:sz w:val="24"/>
          <w:szCs w:val="24"/>
          <w:lang w:val="en-US" w:eastAsia="zh-CN"/>
        </w:rPr>
        <w:tab/>
        <w:t xml:space="preserve">   </w:t>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003655BC" w:rsidRPr="00B53A40">
        <w:rPr>
          <w:rFonts w:ascii="Arial" w:hAnsi="Arial" w:cs="Arial"/>
          <w:b/>
          <w:sz w:val="24"/>
          <w:szCs w:val="24"/>
          <w:lang w:val="en-US" w:eastAsia="zh-CN"/>
        </w:rPr>
        <w:tab/>
      </w:r>
      <w:r w:rsidRPr="00B53A40">
        <w:rPr>
          <w:rFonts w:ascii="Arial" w:hAnsi="Arial" w:cs="Arial"/>
          <w:b/>
          <w:sz w:val="24"/>
          <w:szCs w:val="24"/>
          <w:lang w:val="en-US" w:eastAsia="zh-CN"/>
        </w:rPr>
        <w:t>R</w:t>
      </w:r>
      <w:r w:rsidR="00C22B29" w:rsidRPr="00B53A40">
        <w:rPr>
          <w:rFonts w:ascii="Arial" w:hAnsi="Arial" w:cs="Arial"/>
          <w:b/>
          <w:sz w:val="24"/>
          <w:szCs w:val="24"/>
          <w:lang w:val="en-US" w:eastAsia="zh-CN"/>
        </w:rPr>
        <w:t>4</w:t>
      </w:r>
      <w:r w:rsidRPr="00B53A40">
        <w:rPr>
          <w:rFonts w:ascii="Arial" w:hAnsi="Arial" w:cs="Arial"/>
          <w:b/>
          <w:sz w:val="24"/>
          <w:szCs w:val="24"/>
          <w:lang w:val="en-US" w:eastAsia="zh-CN"/>
        </w:rPr>
        <w:t>-2</w:t>
      </w:r>
      <w:r w:rsidR="00A93208">
        <w:rPr>
          <w:rFonts w:ascii="Arial" w:hAnsi="Arial" w:cs="Arial"/>
          <w:b/>
          <w:sz w:val="24"/>
          <w:szCs w:val="24"/>
          <w:lang w:val="en-US" w:eastAsia="zh-CN"/>
        </w:rPr>
        <w:t>1</w:t>
      </w:r>
      <w:r w:rsidR="00937F10">
        <w:rPr>
          <w:rFonts w:ascii="Arial" w:hAnsi="Arial" w:cs="Arial"/>
          <w:b/>
          <w:sz w:val="24"/>
          <w:szCs w:val="24"/>
          <w:lang w:val="en-US" w:eastAsia="zh-CN"/>
        </w:rPr>
        <w:t>02010</w:t>
      </w:r>
      <w:r w:rsidR="00C22B29" w:rsidRPr="00B53A40">
        <w:rPr>
          <w:rFonts w:ascii="Arial" w:hAnsi="Arial" w:cs="Arial"/>
          <w:b/>
          <w:sz w:val="24"/>
          <w:szCs w:val="24"/>
          <w:lang w:val="en-US" w:eastAsia="zh-CN"/>
        </w:rPr>
        <w:t xml:space="preserve"> </w:t>
      </w:r>
      <w:r w:rsidRPr="00B53A40">
        <w:rPr>
          <w:rFonts w:ascii="Arial" w:hAnsi="Arial" w:cs="Arial"/>
          <w:b/>
          <w:sz w:val="24"/>
          <w:szCs w:val="24"/>
          <w:lang w:val="en-US" w:eastAsia="zh-CN"/>
        </w:rPr>
        <w:t xml:space="preserve">Electronic Meeting, </w:t>
      </w:r>
      <w:r w:rsidR="00A93208">
        <w:rPr>
          <w:rFonts w:ascii="Arial" w:hAnsi="Arial" w:cs="Arial"/>
          <w:b/>
          <w:sz w:val="24"/>
          <w:szCs w:val="24"/>
          <w:lang w:val="en-US" w:eastAsia="zh-CN"/>
        </w:rPr>
        <w:t>January</w:t>
      </w:r>
      <w:r w:rsidRPr="00B53A40">
        <w:rPr>
          <w:rFonts w:ascii="Arial" w:hAnsi="Arial" w:cs="Arial"/>
          <w:b/>
          <w:sz w:val="24"/>
          <w:szCs w:val="24"/>
          <w:lang w:val="en-US" w:eastAsia="zh-CN"/>
        </w:rPr>
        <w:t xml:space="preserve"> </w:t>
      </w:r>
      <w:r w:rsidR="00985912" w:rsidRPr="00B53A40">
        <w:rPr>
          <w:rFonts w:ascii="Arial" w:hAnsi="Arial" w:cs="Arial"/>
          <w:b/>
          <w:sz w:val="24"/>
          <w:szCs w:val="24"/>
          <w:lang w:val="en-US" w:eastAsia="zh-CN"/>
        </w:rPr>
        <w:t>2</w:t>
      </w:r>
      <w:r w:rsidR="00A93208">
        <w:rPr>
          <w:rFonts w:ascii="Arial" w:hAnsi="Arial" w:cs="Arial"/>
          <w:b/>
          <w:sz w:val="24"/>
          <w:szCs w:val="24"/>
          <w:lang w:val="en-US" w:eastAsia="zh-CN"/>
        </w:rPr>
        <w:t>5</w:t>
      </w:r>
      <w:r w:rsidR="00A93208" w:rsidRPr="00A93208">
        <w:rPr>
          <w:rFonts w:ascii="Arial" w:hAnsi="Arial" w:cs="Arial"/>
          <w:b/>
          <w:sz w:val="24"/>
          <w:szCs w:val="24"/>
          <w:vertAlign w:val="superscript"/>
          <w:lang w:val="en-US" w:eastAsia="zh-CN"/>
        </w:rPr>
        <w:t>th</w:t>
      </w:r>
      <w:r w:rsidR="00A93208">
        <w:rPr>
          <w:rFonts w:ascii="Arial" w:hAnsi="Arial" w:cs="Arial"/>
          <w:b/>
          <w:sz w:val="24"/>
          <w:szCs w:val="24"/>
          <w:lang w:val="en-US" w:eastAsia="zh-CN"/>
        </w:rPr>
        <w:t xml:space="preserve"> –</w:t>
      </w:r>
      <w:r w:rsidR="00985912" w:rsidRPr="00B53A40">
        <w:rPr>
          <w:rFonts w:ascii="Arial" w:hAnsi="Arial" w:cs="Arial"/>
          <w:b/>
          <w:sz w:val="24"/>
          <w:szCs w:val="24"/>
          <w:lang w:val="en-US" w:eastAsia="zh-CN"/>
        </w:rPr>
        <w:t xml:space="preserve"> </w:t>
      </w:r>
      <w:r w:rsidR="00A93208">
        <w:rPr>
          <w:rFonts w:ascii="Arial" w:hAnsi="Arial" w:cs="Arial"/>
          <w:b/>
          <w:sz w:val="24"/>
          <w:szCs w:val="24"/>
          <w:lang w:val="en-US" w:eastAsia="zh-CN"/>
        </w:rPr>
        <w:t>February 5</w:t>
      </w:r>
      <w:r w:rsidR="00A93208" w:rsidRPr="00A93208">
        <w:rPr>
          <w:rFonts w:ascii="Arial" w:hAnsi="Arial" w:cs="Arial"/>
          <w:b/>
          <w:sz w:val="24"/>
          <w:szCs w:val="24"/>
          <w:vertAlign w:val="superscript"/>
          <w:lang w:val="en-US" w:eastAsia="zh-CN"/>
        </w:rPr>
        <w:t>th</w:t>
      </w:r>
      <w:r w:rsidRPr="00B53A40">
        <w:rPr>
          <w:rFonts w:ascii="Arial" w:hAnsi="Arial" w:cs="Arial"/>
          <w:b/>
          <w:sz w:val="24"/>
          <w:szCs w:val="24"/>
          <w:lang w:val="en-US" w:eastAsia="zh-CN"/>
        </w:rPr>
        <w:t>, 2020</w:t>
      </w:r>
    </w:p>
    <w:p w14:paraId="798321A4" w14:textId="77777777" w:rsidR="00656EE7" w:rsidRPr="00B53A40" w:rsidRDefault="00656EE7">
      <w:pPr>
        <w:spacing w:after="120"/>
        <w:ind w:left="1985" w:hanging="1985"/>
        <w:rPr>
          <w:rFonts w:ascii="Arial" w:eastAsia="MS Mincho" w:hAnsi="Arial" w:cs="Arial"/>
          <w:b/>
          <w:sz w:val="22"/>
          <w:lang w:val="en-US"/>
        </w:rPr>
      </w:pPr>
    </w:p>
    <w:p w14:paraId="36AE7F06" w14:textId="2ED92004" w:rsidR="00656EE7" w:rsidRPr="00B53A40" w:rsidRDefault="00344713" w:rsidP="2A1C16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szCs w:val="22"/>
          <w:highlight w:val="yellow"/>
          <w:lang w:val="en-US" w:eastAsia="ja-JP"/>
        </w:rPr>
      </w:pPr>
      <w:r w:rsidRPr="2A1C168C">
        <w:rPr>
          <w:rFonts w:ascii="Arial" w:eastAsia="MS Mincho" w:hAnsi="Arial" w:cs="Arial"/>
          <w:b/>
          <w:bCs/>
          <w:color w:val="000000" w:themeColor="text1"/>
          <w:sz w:val="22"/>
          <w:szCs w:val="22"/>
          <w:lang w:val="en-US"/>
        </w:rPr>
        <w:t>Agenda item:</w:t>
      </w:r>
      <w:r>
        <w:tab/>
      </w:r>
      <w:r>
        <w:tab/>
      </w:r>
      <w:r>
        <w:tab/>
      </w:r>
      <w:r w:rsidR="1CE0D593" w:rsidRPr="2A1C168C">
        <w:rPr>
          <w:rFonts w:ascii="Arial" w:eastAsia="MS Mincho" w:hAnsi="Arial" w:cs="Arial"/>
          <w:color w:val="000000" w:themeColor="text1"/>
          <w:sz w:val="22"/>
          <w:szCs w:val="22"/>
          <w:lang w:val="en-US" w:eastAsia="ja-JP"/>
        </w:rPr>
        <w:t>12.2.3</w:t>
      </w:r>
    </w:p>
    <w:p w14:paraId="5F4BD920" w14:textId="669A6165"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sz w:val="22"/>
          <w:lang w:val="en-US"/>
        </w:rPr>
        <w:t>Source:</w:t>
      </w:r>
      <w:r w:rsidRPr="00B53A40">
        <w:rPr>
          <w:rFonts w:ascii="Arial" w:eastAsia="MS Mincho" w:hAnsi="Arial" w:cs="Arial"/>
          <w:b/>
          <w:sz w:val="22"/>
          <w:lang w:val="en-US"/>
        </w:rPr>
        <w:tab/>
      </w:r>
      <w:r w:rsidR="00C22B29" w:rsidRPr="00B53A40">
        <w:rPr>
          <w:rFonts w:ascii="Arial" w:hAnsi="Arial" w:cs="Arial"/>
          <w:color w:val="000000"/>
          <w:sz w:val="22"/>
          <w:lang w:val="en-US" w:eastAsia="zh-CN"/>
        </w:rPr>
        <w:t>Nokia, Nokia Shanghai Bell</w:t>
      </w:r>
    </w:p>
    <w:p w14:paraId="7BD5998E" w14:textId="6070E901" w:rsidR="00656EE7" w:rsidRPr="00B53A40" w:rsidRDefault="00344713">
      <w:pPr>
        <w:spacing w:after="120"/>
        <w:ind w:left="1985" w:hanging="1985"/>
        <w:rPr>
          <w:rFonts w:ascii="Arial" w:hAnsi="Arial" w:cs="Arial"/>
          <w:color w:val="000000"/>
          <w:sz w:val="22"/>
          <w:lang w:val="en-US" w:eastAsia="zh-CN"/>
        </w:rPr>
      </w:pPr>
      <w:r w:rsidRPr="00B53A40">
        <w:rPr>
          <w:rFonts w:ascii="Arial" w:eastAsia="MS Mincho" w:hAnsi="Arial" w:cs="Arial"/>
          <w:b/>
          <w:color w:val="000000"/>
          <w:sz w:val="22"/>
          <w:lang w:val="en-US"/>
        </w:rPr>
        <w:t>Title:</w:t>
      </w:r>
      <w:r w:rsidRPr="00B53A40">
        <w:rPr>
          <w:rFonts w:ascii="Arial" w:eastAsia="MS Mincho" w:hAnsi="Arial" w:cs="Arial"/>
          <w:b/>
          <w:color w:val="000000"/>
          <w:sz w:val="22"/>
          <w:lang w:val="en-US"/>
        </w:rPr>
        <w:tab/>
      </w:r>
      <w:r w:rsidR="003B2064">
        <w:rPr>
          <w:rFonts w:ascii="Arial" w:hAnsi="Arial" w:cs="Arial"/>
          <w:color w:val="000000"/>
          <w:sz w:val="22"/>
          <w:lang w:val="en-US" w:eastAsia="zh-CN"/>
        </w:rPr>
        <w:t>UE</w:t>
      </w:r>
      <w:r w:rsidR="001C0E88">
        <w:rPr>
          <w:rFonts w:ascii="Arial" w:hAnsi="Arial" w:cs="Arial"/>
          <w:color w:val="000000"/>
          <w:sz w:val="22"/>
          <w:lang w:val="en-US" w:eastAsia="zh-CN"/>
        </w:rPr>
        <w:t xml:space="preserve"> RF</w:t>
      </w:r>
      <w:r w:rsidR="00504688" w:rsidRPr="00B53A40">
        <w:rPr>
          <w:rFonts w:ascii="Arial" w:hAnsi="Arial" w:cs="Arial"/>
          <w:color w:val="000000"/>
          <w:sz w:val="22"/>
          <w:lang w:val="en-US" w:eastAsia="zh-CN"/>
        </w:rPr>
        <w:t xml:space="preserve"> for NR beyond 52.6 GHz</w:t>
      </w:r>
    </w:p>
    <w:p w14:paraId="4C70E33B" w14:textId="433E9F04" w:rsidR="00656EE7" w:rsidRPr="00B53A40" w:rsidRDefault="00344713">
      <w:pPr>
        <w:spacing w:after="120"/>
        <w:ind w:left="1985" w:hanging="1985"/>
        <w:rPr>
          <w:rFonts w:ascii="Arial" w:hAnsi="Arial" w:cs="Arial"/>
          <w:sz w:val="22"/>
          <w:lang w:val="en-US" w:eastAsia="zh-CN"/>
        </w:rPr>
      </w:pPr>
      <w:r w:rsidRPr="00B53A40">
        <w:rPr>
          <w:rFonts w:ascii="Arial" w:eastAsia="MS Mincho" w:hAnsi="Arial" w:cs="Arial"/>
          <w:b/>
          <w:color w:val="000000"/>
          <w:sz w:val="22"/>
          <w:lang w:val="en-US"/>
        </w:rPr>
        <w:t>Document for:</w:t>
      </w:r>
      <w:r w:rsidRPr="00B53A40">
        <w:rPr>
          <w:rFonts w:ascii="Arial" w:eastAsia="MS Mincho" w:hAnsi="Arial" w:cs="Arial"/>
          <w:b/>
          <w:color w:val="000000"/>
          <w:sz w:val="22"/>
          <w:lang w:val="en-US"/>
        </w:rPr>
        <w:tab/>
      </w:r>
      <w:r w:rsidR="00C22B29" w:rsidRPr="00B53A40">
        <w:rPr>
          <w:rFonts w:ascii="Arial" w:hAnsi="Arial" w:cs="Arial"/>
          <w:color w:val="000000"/>
          <w:sz w:val="22"/>
          <w:lang w:val="en-US" w:eastAsia="zh-CN"/>
        </w:rPr>
        <w:t>Approval</w:t>
      </w:r>
    </w:p>
    <w:p w14:paraId="21CA3802" w14:textId="77777777" w:rsidR="00656EE7" w:rsidRPr="00B53A40" w:rsidRDefault="00344713" w:rsidP="00065A7B">
      <w:pPr>
        <w:pStyle w:val="Heading1"/>
        <w:rPr>
          <w:lang w:val="en-US" w:eastAsia="zh-CN"/>
        </w:rPr>
      </w:pPr>
      <w:r w:rsidRPr="00B53A40">
        <w:rPr>
          <w:lang w:val="en-US" w:eastAsia="ja-JP"/>
        </w:rPr>
        <w:t>Introduction</w:t>
      </w:r>
    </w:p>
    <w:p w14:paraId="29CC0571" w14:textId="130147CB" w:rsidR="00E74969" w:rsidRDefault="00E74969" w:rsidP="00E74969">
      <w:pPr>
        <w:rPr>
          <w:lang w:val="en-US"/>
        </w:rPr>
      </w:pPr>
      <w:r w:rsidRPr="00B53A40">
        <w:rPr>
          <w:lang w:val="en-US"/>
        </w:rPr>
        <w:t xml:space="preserve">The study item on supporting NR from 52.6 GHz to 71 GHz </w:t>
      </w:r>
      <w:r w:rsidRPr="00B53A40">
        <w:rPr>
          <w:lang w:val="en-US"/>
        </w:rPr>
        <w:fldChar w:fldCharType="begin"/>
      </w:r>
      <w:r w:rsidRPr="00B53A40">
        <w:rPr>
          <w:lang w:val="en-US"/>
        </w:rPr>
        <w:instrText xml:space="preserve"> REF _Ref31097917 \n \h  \* MERGEFORMAT </w:instrText>
      </w:r>
      <w:r w:rsidRPr="00B53A40">
        <w:rPr>
          <w:lang w:val="en-US"/>
        </w:rPr>
      </w:r>
      <w:r w:rsidRPr="00B53A40">
        <w:rPr>
          <w:lang w:val="en-US"/>
        </w:rPr>
        <w:fldChar w:fldCharType="separate"/>
      </w:r>
      <w:r w:rsidR="00A0307E">
        <w:rPr>
          <w:lang w:val="en-US"/>
        </w:rPr>
        <w:t>[1]</w:t>
      </w:r>
      <w:r w:rsidRPr="00B53A40">
        <w:rPr>
          <w:lang w:val="en-US"/>
        </w:rPr>
        <w:fldChar w:fldCharType="end"/>
      </w:r>
      <w:r w:rsidRPr="00B53A40">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B53A40">
        <w:rPr>
          <w:lang w:val="en-US"/>
        </w:rPr>
        <w:fldChar w:fldCharType="begin"/>
      </w:r>
      <w:r w:rsidRPr="00B53A40">
        <w:rPr>
          <w:lang w:val="en-US"/>
        </w:rPr>
        <w:instrText xml:space="preserve"> REF _Ref31097951 \n \h  \* MERGEFORMAT </w:instrText>
      </w:r>
      <w:r w:rsidRPr="00B53A40">
        <w:rPr>
          <w:lang w:val="en-US"/>
        </w:rPr>
      </w:r>
      <w:r w:rsidRPr="00B53A40">
        <w:rPr>
          <w:lang w:val="en-US"/>
        </w:rPr>
        <w:fldChar w:fldCharType="separate"/>
      </w:r>
      <w:r w:rsidR="00A0307E">
        <w:rPr>
          <w:lang w:val="en-US"/>
        </w:rPr>
        <w:t>[2]</w:t>
      </w:r>
      <w:r w:rsidRPr="00B53A40">
        <w:rPr>
          <w:lang w:val="en-US"/>
        </w:rPr>
        <w:fldChar w:fldCharType="end"/>
      </w:r>
      <w:r w:rsidRPr="00B53A40">
        <w:rPr>
          <w:lang w:val="en-US"/>
        </w:rPr>
        <w:t xml:space="preserve">. </w:t>
      </w:r>
    </w:p>
    <w:p w14:paraId="332C03C6" w14:textId="5E7775FB" w:rsidR="003B2064" w:rsidRPr="00B53A40" w:rsidRDefault="003B2064" w:rsidP="00E74969">
      <w:pPr>
        <w:rPr>
          <w:lang w:val="en-US"/>
        </w:rPr>
      </w:pPr>
      <w:r>
        <w:rPr>
          <w:lang w:val="en-US"/>
        </w:rPr>
        <w:t>In this contribution UE RF related aspects are discussed.</w:t>
      </w:r>
    </w:p>
    <w:p w14:paraId="27A7A54E" w14:textId="74417229" w:rsidR="007B1131" w:rsidRPr="00B53A40" w:rsidRDefault="00F84D8E" w:rsidP="00F84D8E">
      <w:pPr>
        <w:pStyle w:val="Heading1"/>
        <w:rPr>
          <w:lang w:val="en-US" w:eastAsia="zh-CN"/>
        </w:rPr>
      </w:pPr>
      <w:r w:rsidRPr="00B53A40">
        <w:rPr>
          <w:lang w:val="en-US" w:eastAsia="zh-CN"/>
        </w:rPr>
        <w:t>Discussion</w:t>
      </w:r>
    </w:p>
    <w:p w14:paraId="2A56C66C" w14:textId="27C09D9D" w:rsidR="006B79DA" w:rsidRPr="007110AC" w:rsidRDefault="001C0E88" w:rsidP="006B79DA">
      <w:pPr>
        <w:pStyle w:val="Heading2"/>
        <w:overflowPunct w:val="0"/>
        <w:autoSpaceDE w:val="0"/>
        <w:autoSpaceDN w:val="0"/>
        <w:adjustRightInd w:val="0"/>
        <w:textAlignment w:val="baseline"/>
        <w:rPr>
          <w:sz w:val="24"/>
        </w:rPr>
      </w:pPr>
      <w:r>
        <w:rPr>
          <w:sz w:val="24"/>
          <w:lang w:val="en-US"/>
        </w:rPr>
        <w:t>Achievable power</w:t>
      </w:r>
    </w:p>
    <w:p w14:paraId="603DC980" w14:textId="7E790BBE" w:rsidR="003B2064" w:rsidRPr="003E1FB9" w:rsidRDefault="003B2064" w:rsidP="003B2064">
      <w:r>
        <w:t>Practically achievable maximum transmit power for NR on 52.6-71 GHz depends on the number of practical implementation imperfections while also ensuring that number of different requirements like spectrum emission mask (SEM), occupied bandwidth (OBW), modulation quality measured in terms of EVM (Error Vector Magnitude) and in-band emissions (IBE) are met. We have done MPR (Maximum Power Reduction) simulations for a Power class 3 UE (max. 23 dBm transmission power) using practical PA model to analyse how much the maximum UE Tx power may need to be reduced for meeting these requirements and which of the requirement is the limiting factor for the achievable UE Tx power.</w:t>
      </w:r>
      <w:r w:rsidR="003B4733">
        <w:t xml:space="preserve"> </w:t>
      </w:r>
      <w:r w:rsidR="00A93208">
        <w:t xml:space="preserve">In previous meeting we have provided examples of achievable output power by MPR simulations [3], where UE was required to meet current FR2 requirements. </w:t>
      </w:r>
    </w:p>
    <w:p w14:paraId="372BA253" w14:textId="0ED0ABE9" w:rsidR="003B2064" w:rsidRDefault="003B2064" w:rsidP="003B2064">
      <w:r w:rsidRPr="003E1FB9">
        <w:t xml:space="preserve">As discussed </w:t>
      </w:r>
      <w:r w:rsidR="00A93208">
        <w:t>in [3]</w:t>
      </w:r>
      <w:r w:rsidRPr="003E1FB9">
        <w:t>, phase noise is limiting link performance especially with higher order modulations. These MPR simulation results show that the achievable maximum transmit power is often limited by the EVM performance especially with the higher order modulations. Also, phase noise is a significant contributor to EVM. In order to avoid further coverage reductions due to poor phase noise performance and large MPR for meeting the EVM requirements, it would be important to design NR from 52.6 GHz to 71 GHz so that phase noise degradations in link performance can be minimized.</w:t>
      </w:r>
    </w:p>
    <w:p w14:paraId="3F1DD98F" w14:textId="73532106" w:rsidR="002E0CD4" w:rsidRDefault="002E0CD4" w:rsidP="003B2064">
      <w:bookmarkStart w:id="0" w:name="_Hlk54351566"/>
      <w:r>
        <w:t>Achievable UE output power was also evaluated for different array sizes. The results have been captured to table 1.</w:t>
      </w:r>
    </w:p>
    <w:p w14:paraId="5726E2DB" w14:textId="02427D7F" w:rsidR="002E0CD4" w:rsidRPr="002E0CD4" w:rsidRDefault="002E0CD4" w:rsidP="002E0CD4">
      <w:pPr>
        <w:jc w:val="center"/>
        <w:rPr>
          <w:b/>
          <w:bCs/>
        </w:rPr>
      </w:pPr>
      <w:r w:rsidRPr="002E0CD4">
        <w:rPr>
          <w:b/>
          <w:bCs/>
        </w:rPr>
        <w:t>Table 1: Achievable UE output power for different array sizes</w:t>
      </w:r>
    </w:p>
    <w:tbl>
      <w:tblPr>
        <w:tblW w:w="6700" w:type="dxa"/>
        <w:jc w:val="center"/>
        <w:tblCellMar>
          <w:left w:w="70" w:type="dxa"/>
          <w:right w:w="70" w:type="dxa"/>
        </w:tblCellMar>
        <w:tblLook w:val="04A0" w:firstRow="1" w:lastRow="0" w:firstColumn="1" w:lastColumn="0" w:noHBand="0" w:noVBand="1"/>
      </w:tblPr>
      <w:tblGrid>
        <w:gridCol w:w="1680"/>
        <w:gridCol w:w="960"/>
        <w:gridCol w:w="1015"/>
        <w:gridCol w:w="1015"/>
        <w:gridCol w:w="1015"/>
        <w:gridCol w:w="1015"/>
      </w:tblGrid>
      <w:tr w:rsidR="002E0CD4" w:rsidRPr="002E0CD4" w14:paraId="043305F3" w14:textId="77777777" w:rsidTr="002E0CD4">
        <w:trPr>
          <w:trHeight w:val="300"/>
          <w:jc w:val="center"/>
        </w:trPr>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FD72E" w14:textId="77777777" w:rsidR="002E0CD4" w:rsidRPr="002E0CD4" w:rsidRDefault="002E0CD4" w:rsidP="002E0CD4">
            <w:pPr>
              <w:spacing w:after="0"/>
              <w:jc w:val="center"/>
              <w:rPr>
                <w:rFonts w:ascii="Arial" w:eastAsia="Times New Roman" w:hAnsi="Arial" w:cs="Arial"/>
                <w:b/>
                <w:bCs/>
                <w:color w:val="000000"/>
                <w:sz w:val="18"/>
                <w:szCs w:val="18"/>
                <w:lang w:val="fi-FI" w:eastAsia="fi-FI"/>
              </w:rPr>
            </w:pPr>
            <w:r w:rsidRPr="002E0CD4">
              <w:rPr>
                <w:rFonts w:ascii="Arial" w:eastAsia="Times New Roman" w:hAnsi="Arial" w:cs="Arial"/>
                <w:b/>
                <w:bCs/>
                <w:color w:val="000000"/>
                <w:sz w:val="18"/>
                <w:szCs w:val="18"/>
                <w:lang w:eastAsia="fi-FI"/>
              </w:rPr>
              <w:t>Parameter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1DEC360" w14:textId="77777777" w:rsidR="002E0CD4" w:rsidRPr="002E0CD4" w:rsidRDefault="002E0CD4" w:rsidP="002E0CD4">
            <w:pPr>
              <w:spacing w:after="0"/>
              <w:jc w:val="center"/>
              <w:rPr>
                <w:rFonts w:ascii="Arial" w:eastAsia="Times New Roman" w:hAnsi="Arial" w:cs="Arial"/>
                <w:b/>
                <w:bCs/>
                <w:color w:val="000000"/>
                <w:sz w:val="18"/>
                <w:szCs w:val="18"/>
                <w:lang w:val="fi-FI" w:eastAsia="fi-FI"/>
              </w:rPr>
            </w:pPr>
            <w:r w:rsidRPr="002E0CD4">
              <w:rPr>
                <w:rFonts w:ascii="Arial" w:eastAsia="Times New Roman" w:hAnsi="Arial" w:cs="Arial"/>
                <w:b/>
                <w:bCs/>
                <w:color w:val="000000"/>
                <w:sz w:val="18"/>
                <w:szCs w:val="18"/>
                <w:lang w:eastAsia="fi-FI"/>
              </w:rPr>
              <w:t>Unit</w:t>
            </w:r>
          </w:p>
        </w:tc>
        <w:tc>
          <w:tcPr>
            <w:tcW w:w="40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9F9EE2C" w14:textId="77777777" w:rsidR="002E0CD4" w:rsidRPr="002E0CD4" w:rsidRDefault="002E0CD4" w:rsidP="002E0CD4">
            <w:pPr>
              <w:spacing w:after="0"/>
              <w:jc w:val="center"/>
              <w:rPr>
                <w:rFonts w:ascii="Arial" w:eastAsia="Times New Roman" w:hAnsi="Arial" w:cs="Arial"/>
                <w:b/>
                <w:bCs/>
                <w:color w:val="000000"/>
                <w:sz w:val="18"/>
                <w:szCs w:val="18"/>
                <w:lang w:val="fi-FI" w:eastAsia="fi-FI"/>
              </w:rPr>
            </w:pPr>
            <w:r w:rsidRPr="002E0CD4">
              <w:rPr>
                <w:rFonts w:ascii="Arial" w:eastAsia="Times New Roman" w:hAnsi="Arial" w:cs="Arial"/>
                <w:b/>
                <w:bCs/>
                <w:color w:val="000000"/>
                <w:sz w:val="18"/>
                <w:szCs w:val="18"/>
                <w:lang w:val="fi-FI" w:eastAsia="fi-FI"/>
              </w:rPr>
              <w:t>Value</w:t>
            </w:r>
          </w:p>
        </w:tc>
      </w:tr>
      <w:tr w:rsidR="002E0CD4" w:rsidRPr="002E0CD4" w14:paraId="7925EA3B"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3477E769"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76F58075" w14:textId="2B78A744" w:rsidR="002E0CD4" w:rsidRPr="002E0CD4" w:rsidRDefault="002E0CD4" w:rsidP="002E0CD4">
            <w:pPr>
              <w:spacing w:after="0"/>
              <w:jc w:val="center"/>
              <w:rPr>
                <w:rFonts w:ascii="Arial" w:eastAsia="Times New Roman" w:hAnsi="Arial" w:cs="Arial"/>
                <w:color w:val="000000"/>
                <w:sz w:val="18"/>
                <w:szCs w:val="18"/>
                <w:lang w:eastAsia="fi-FI"/>
              </w:rPr>
            </w:pPr>
          </w:p>
        </w:tc>
        <w:tc>
          <w:tcPr>
            <w:tcW w:w="1015" w:type="dxa"/>
            <w:tcBorders>
              <w:top w:val="nil"/>
              <w:left w:val="nil"/>
              <w:bottom w:val="single" w:sz="4" w:space="0" w:color="auto"/>
              <w:right w:val="single" w:sz="4" w:space="0" w:color="auto"/>
            </w:tcBorders>
            <w:shd w:val="clear" w:color="auto" w:fill="auto"/>
            <w:noWrap/>
            <w:vAlign w:val="center"/>
            <w:hideMark/>
          </w:tcPr>
          <w:p w14:paraId="434DF620"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20E7F993"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7E5E4EF8"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8</w:t>
            </w:r>
          </w:p>
        </w:tc>
        <w:tc>
          <w:tcPr>
            <w:tcW w:w="1015" w:type="dxa"/>
            <w:tcBorders>
              <w:top w:val="nil"/>
              <w:left w:val="nil"/>
              <w:bottom w:val="single" w:sz="4" w:space="0" w:color="auto"/>
              <w:right w:val="single" w:sz="4" w:space="0" w:color="auto"/>
            </w:tcBorders>
            <w:shd w:val="clear" w:color="auto" w:fill="auto"/>
            <w:noWrap/>
            <w:vAlign w:val="center"/>
            <w:hideMark/>
          </w:tcPr>
          <w:p w14:paraId="030886B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16</w:t>
            </w:r>
          </w:p>
        </w:tc>
      </w:tr>
      <w:tr w:rsidR="002E0CD4" w:rsidRPr="002E0CD4" w14:paraId="665CF2F0" w14:textId="77777777" w:rsidTr="002E0CD4">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3E97D70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Avg. element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62208F7D"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dBi</w:t>
            </w:r>
          </w:p>
        </w:tc>
        <w:tc>
          <w:tcPr>
            <w:tcW w:w="1015" w:type="dxa"/>
            <w:tcBorders>
              <w:top w:val="nil"/>
              <w:left w:val="nil"/>
              <w:bottom w:val="single" w:sz="4" w:space="0" w:color="auto"/>
              <w:right w:val="single" w:sz="4" w:space="0" w:color="auto"/>
            </w:tcBorders>
            <w:shd w:val="clear" w:color="auto" w:fill="auto"/>
            <w:noWrap/>
            <w:vAlign w:val="center"/>
            <w:hideMark/>
          </w:tcPr>
          <w:p w14:paraId="162DA2DA"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6FCD430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30909E4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c>
          <w:tcPr>
            <w:tcW w:w="1015" w:type="dxa"/>
            <w:tcBorders>
              <w:top w:val="nil"/>
              <w:left w:val="nil"/>
              <w:bottom w:val="single" w:sz="4" w:space="0" w:color="auto"/>
              <w:right w:val="single" w:sz="4" w:space="0" w:color="auto"/>
            </w:tcBorders>
            <w:shd w:val="clear" w:color="auto" w:fill="auto"/>
            <w:noWrap/>
            <w:vAlign w:val="center"/>
            <w:hideMark/>
          </w:tcPr>
          <w:p w14:paraId="37161CD5"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w:t>
            </w:r>
          </w:p>
        </w:tc>
      </w:tr>
      <w:tr w:rsidR="002E0CD4" w:rsidRPr="002E0CD4" w14:paraId="4068C83B"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6E0E00B"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lastRenderedPageBreak/>
              <w:t>Antenna roll-off loss vs frequency</w:t>
            </w:r>
          </w:p>
        </w:tc>
        <w:tc>
          <w:tcPr>
            <w:tcW w:w="960" w:type="dxa"/>
            <w:tcBorders>
              <w:top w:val="nil"/>
              <w:left w:val="nil"/>
              <w:bottom w:val="single" w:sz="4" w:space="0" w:color="auto"/>
              <w:right w:val="single" w:sz="4" w:space="0" w:color="auto"/>
            </w:tcBorders>
            <w:shd w:val="clear" w:color="auto" w:fill="auto"/>
            <w:vAlign w:val="center"/>
            <w:hideMark/>
          </w:tcPr>
          <w:p w14:paraId="4BFFCD5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2F74E65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32B61EE8"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0FCC68B3"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c>
          <w:tcPr>
            <w:tcW w:w="1015" w:type="dxa"/>
            <w:tcBorders>
              <w:top w:val="nil"/>
              <w:left w:val="nil"/>
              <w:bottom w:val="single" w:sz="4" w:space="0" w:color="auto"/>
              <w:right w:val="single" w:sz="4" w:space="0" w:color="auto"/>
            </w:tcBorders>
            <w:shd w:val="clear" w:color="auto" w:fill="auto"/>
            <w:noWrap/>
            <w:vAlign w:val="center"/>
            <w:hideMark/>
          </w:tcPr>
          <w:p w14:paraId="2FD95A45"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w:t>
            </w:r>
          </w:p>
        </w:tc>
      </w:tr>
      <w:tr w:rsidR="002E0CD4" w:rsidRPr="002E0CD4" w14:paraId="3AC3E9E3"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ED65DF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Antenna efficiency</w:t>
            </w:r>
          </w:p>
        </w:tc>
        <w:tc>
          <w:tcPr>
            <w:tcW w:w="960" w:type="dxa"/>
            <w:tcBorders>
              <w:top w:val="nil"/>
              <w:left w:val="nil"/>
              <w:bottom w:val="single" w:sz="4" w:space="0" w:color="auto"/>
              <w:right w:val="single" w:sz="4" w:space="0" w:color="auto"/>
            </w:tcBorders>
            <w:shd w:val="clear" w:color="auto" w:fill="auto"/>
            <w:vAlign w:val="center"/>
            <w:hideMark/>
          </w:tcPr>
          <w:p w14:paraId="50E0BBF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589761F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29566B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78935B17"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c>
          <w:tcPr>
            <w:tcW w:w="1015" w:type="dxa"/>
            <w:tcBorders>
              <w:top w:val="nil"/>
              <w:left w:val="nil"/>
              <w:bottom w:val="single" w:sz="4" w:space="0" w:color="auto"/>
              <w:right w:val="single" w:sz="4" w:space="0" w:color="auto"/>
            </w:tcBorders>
            <w:shd w:val="clear" w:color="auto" w:fill="auto"/>
            <w:noWrap/>
            <w:vAlign w:val="center"/>
            <w:hideMark/>
          </w:tcPr>
          <w:p w14:paraId="481A79EA"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w:t>
            </w:r>
          </w:p>
        </w:tc>
      </w:tr>
      <w:tr w:rsidR="002E0CD4" w:rsidRPr="002E0CD4" w14:paraId="15CA04E8" w14:textId="77777777" w:rsidTr="002E0CD4">
        <w:trPr>
          <w:trHeight w:val="72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8F0882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Realized antenna array gain per polarization</w:t>
            </w:r>
          </w:p>
        </w:tc>
        <w:tc>
          <w:tcPr>
            <w:tcW w:w="960" w:type="dxa"/>
            <w:tcBorders>
              <w:top w:val="nil"/>
              <w:left w:val="nil"/>
              <w:bottom w:val="single" w:sz="4" w:space="0" w:color="auto"/>
              <w:right w:val="single" w:sz="4" w:space="0" w:color="auto"/>
            </w:tcBorders>
            <w:shd w:val="clear" w:color="auto" w:fill="auto"/>
            <w:vAlign w:val="center"/>
            <w:hideMark/>
          </w:tcPr>
          <w:p w14:paraId="0EA4F09B"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dBi</w:t>
            </w:r>
          </w:p>
        </w:tc>
        <w:tc>
          <w:tcPr>
            <w:tcW w:w="1015" w:type="dxa"/>
            <w:tcBorders>
              <w:top w:val="nil"/>
              <w:left w:val="nil"/>
              <w:bottom w:val="single" w:sz="4" w:space="0" w:color="auto"/>
              <w:right w:val="single" w:sz="4" w:space="0" w:color="auto"/>
            </w:tcBorders>
            <w:shd w:val="clear" w:color="auto" w:fill="auto"/>
            <w:noWrap/>
            <w:vAlign w:val="center"/>
            <w:hideMark/>
          </w:tcPr>
          <w:p w14:paraId="68AF1E0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4.0</w:t>
            </w:r>
          </w:p>
        </w:tc>
        <w:tc>
          <w:tcPr>
            <w:tcW w:w="1015" w:type="dxa"/>
            <w:tcBorders>
              <w:top w:val="nil"/>
              <w:left w:val="nil"/>
              <w:bottom w:val="single" w:sz="4" w:space="0" w:color="auto"/>
              <w:right w:val="single" w:sz="4" w:space="0" w:color="auto"/>
            </w:tcBorders>
            <w:shd w:val="clear" w:color="auto" w:fill="auto"/>
            <w:noWrap/>
            <w:vAlign w:val="center"/>
            <w:hideMark/>
          </w:tcPr>
          <w:p w14:paraId="211F194E"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7.0</w:t>
            </w:r>
          </w:p>
        </w:tc>
        <w:tc>
          <w:tcPr>
            <w:tcW w:w="1015" w:type="dxa"/>
            <w:tcBorders>
              <w:top w:val="nil"/>
              <w:left w:val="nil"/>
              <w:bottom w:val="single" w:sz="4" w:space="0" w:color="auto"/>
              <w:right w:val="single" w:sz="4" w:space="0" w:color="auto"/>
            </w:tcBorders>
            <w:shd w:val="clear" w:color="auto" w:fill="auto"/>
            <w:noWrap/>
            <w:vAlign w:val="center"/>
            <w:hideMark/>
          </w:tcPr>
          <w:p w14:paraId="411A925D"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10.0</w:t>
            </w:r>
          </w:p>
        </w:tc>
        <w:tc>
          <w:tcPr>
            <w:tcW w:w="1015" w:type="dxa"/>
            <w:tcBorders>
              <w:top w:val="nil"/>
              <w:left w:val="nil"/>
              <w:bottom w:val="single" w:sz="4" w:space="0" w:color="auto"/>
              <w:right w:val="single" w:sz="4" w:space="0" w:color="auto"/>
            </w:tcBorders>
            <w:shd w:val="clear" w:color="auto" w:fill="auto"/>
            <w:noWrap/>
            <w:vAlign w:val="center"/>
            <w:hideMark/>
          </w:tcPr>
          <w:p w14:paraId="336DC923"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13.0</w:t>
            </w:r>
          </w:p>
        </w:tc>
      </w:tr>
      <w:tr w:rsidR="002E0CD4" w:rsidRPr="002E0CD4" w14:paraId="7348D6DC"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022AECC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43CB8157"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712DACAA"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0045E03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3B8159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c>
          <w:tcPr>
            <w:tcW w:w="1015" w:type="dxa"/>
            <w:tcBorders>
              <w:top w:val="nil"/>
              <w:left w:val="nil"/>
              <w:bottom w:val="single" w:sz="4" w:space="0" w:color="auto"/>
              <w:right w:val="single" w:sz="4" w:space="0" w:color="auto"/>
            </w:tcBorders>
            <w:shd w:val="clear" w:color="auto" w:fill="auto"/>
            <w:noWrap/>
            <w:vAlign w:val="center"/>
            <w:hideMark/>
          </w:tcPr>
          <w:p w14:paraId="1822349B"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2.8</w:t>
            </w:r>
          </w:p>
        </w:tc>
      </w:tr>
      <w:tr w:rsidR="002E0CD4" w:rsidRPr="002E0CD4" w14:paraId="2CA5FE2A"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4C679CEE" w14:textId="02E7CF1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P1d</w:t>
            </w:r>
            <w:r>
              <w:rPr>
                <w:rFonts w:ascii="Arial" w:eastAsia="Times New Roman" w:hAnsi="Arial" w:cs="Arial"/>
                <w:color w:val="000000"/>
                <w:sz w:val="18"/>
                <w:szCs w:val="18"/>
                <w:lang w:eastAsia="fi-FI"/>
              </w:rPr>
              <w:t>B</w:t>
            </w:r>
            <w:r w:rsidRPr="002E0CD4">
              <w:rPr>
                <w:rFonts w:ascii="Arial" w:eastAsia="Times New Roman" w:hAnsi="Arial" w:cs="Arial"/>
                <w:color w:val="000000"/>
                <w:sz w:val="18"/>
                <w:szCs w:val="18"/>
                <w:lang w:eastAsia="fi-FI"/>
              </w:rPr>
              <w:t xml:space="preserve"> per PA</w:t>
            </w:r>
          </w:p>
        </w:tc>
        <w:tc>
          <w:tcPr>
            <w:tcW w:w="960" w:type="dxa"/>
            <w:tcBorders>
              <w:top w:val="nil"/>
              <w:left w:val="nil"/>
              <w:bottom w:val="single" w:sz="4" w:space="0" w:color="auto"/>
              <w:right w:val="single" w:sz="4" w:space="0" w:color="auto"/>
            </w:tcBorders>
            <w:shd w:val="clear" w:color="auto" w:fill="auto"/>
            <w:vAlign w:val="center"/>
            <w:hideMark/>
          </w:tcPr>
          <w:p w14:paraId="3DFC2ECD"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dBm</w:t>
            </w:r>
          </w:p>
        </w:tc>
        <w:tc>
          <w:tcPr>
            <w:tcW w:w="1015" w:type="dxa"/>
            <w:tcBorders>
              <w:top w:val="nil"/>
              <w:left w:val="nil"/>
              <w:bottom w:val="single" w:sz="4" w:space="0" w:color="auto"/>
              <w:right w:val="single" w:sz="4" w:space="0" w:color="auto"/>
            </w:tcBorders>
            <w:shd w:val="clear" w:color="auto" w:fill="auto"/>
            <w:noWrap/>
            <w:vAlign w:val="center"/>
            <w:hideMark/>
          </w:tcPr>
          <w:p w14:paraId="0E9C4E3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D720C85"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3B57110D"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c>
          <w:tcPr>
            <w:tcW w:w="1015" w:type="dxa"/>
            <w:tcBorders>
              <w:top w:val="nil"/>
              <w:left w:val="nil"/>
              <w:bottom w:val="single" w:sz="4" w:space="0" w:color="auto"/>
              <w:right w:val="single" w:sz="4" w:space="0" w:color="auto"/>
            </w:tcBorders>
            <w:shd w:val="clear" w:color="auto" w:fill="auto"/>
            <w:noWrap/>
            <w:vAlign w:val="center"/>
            <w:hideMark/>
          </w:tcPr>
          <w:p w14:paraId="1635E52F"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14</w:t>
            </w:r>
          </w:p>
        </w:tc>
      </w:tr>
      <w:tr w:rsidR="002E0CD4" w:rsidRPr="002E0CD4" w14:paraId="40EA0EFA" w14:textId="77777777" w:rsidTr="002E0CD4">
        <w:trPr>
          <w:trHeight w:val="30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77144CAC"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60CE644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dB</w:t>
            </w:r>
          </w:p>
        </w:tc>
        <w:tc>
          <w:tcPr>
            <w:tcW w:w="1015" w:type="dxa"/>
            <w:tcBorders>
              <w:top w:val="nil"/>
              <w:left w:val="nil"/>
              <w:bottom w:val="single" w:sz="4" w:space="0" w:color="auto"/>
              <w:right w:val="single" w:sz="4" w:space="0" w:color="auto"/>
            </w:tcBorders>
            <w:shd w:val="clear" w:color="auto" w:fill="auto"/>
            <w:noWrap/>
            <w:vAlign w:val="center"/>
            <w:hideMark/>
          </w:tcPr>
          <w:p w14:paraId="68E928E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53D2A8C4"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53A13D4B"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c>
          <w:tcPr>
            <w:tcW w:w="1015" w:type="dxa"/>
            <w:tcBorders>
              <w:top w:val="nil"/>
              <w:left w:val="nil"/>
              <w:bottom w:val="single" w:sz="4" w:space="0" w:color="auto"/>
              <w:right w:val="single" w:sz="4" w:space="0" w:color="auto"/>
            </w:tcBorders>
            <w:shd w:val="clear" w:color="auto" w:fill="auto"/>
            <w:noWrap/>
            <w:vAlign w:val="center"/>
            <w:hideMark/>
          </w:tcPr>
          <w:p w14:paraId="6BB95B22" w14:textId="77777777" w:rsidR="002E0CD4" w:rsidRPr="002E0CD4" w:rsidRDefault="002E0CD4" w:rsidP="002E0CD4">
            <w:pPr>
              <w:spacing w:after="0"/>
              <w:jc w:val="center"/>
              <w:rPr>
                <w:rFonts w:ascii="Arial" w:eastAsia="Times New Roman" w:hAnsi="Arial" w:cs="Arial"/>
                <w:color w:val="000000"/>
                <w:sz w:val="18"/>
                <w:szCs w:val="18"/>
                <w:lang w:eastAsia="fi-FI"/>
              </w:rPr>
            </w:pPr>
            <w:r w:rsidRPr="002E0CD4">
              <w:rPr>
                <w:rFonts w:ascii="Arial" w:eastAsia="Times New Roman" w:hAnsi="Arial" w:cs="Arial"/>
                <w:color w:val="000000"/>
                <w:sz w:val="18"/>
                <w:szCs w:val="18"/>
                <w:lang w:eastAsia="fi-FI"/>
              </w:rPr>
              <w:t>6</w:t>
            </w:r>
          </w:p>
        </w:tc>
      </w:tr>
      <w:tr w:rsidR="002E0CD4" w:rsidRPr="002E0CD4" w14:paraId="52C30556"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6E4D6EC0" w14:textId="4EB5B89D"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TRP</w:t>
            </w:r>
          </w:p>
        </w:tc>
        <w:tc>
          <w:tcPr>
            <w:tcW w:w="960" w:type="dxa"/>
            <w:tcBorders>
              <w:top w:val="nil"/>
              <w:left w:val="nil"/>
              <w:bottom w:val="single" w:sz="4" w:space="0" w:color="auto"/>
              <w:right w:val="single" w:sz="4" w:space="0" w:color="auto"/>
            </w:tcBorders>
            <w:shd w:val="clear" w:color="auto" w:fill="auto"/>
            <w:vAlign w:val="center"/>
            <w:hideMark/>
          </w:tcPr>
          <w:p w14:paraId="2B9EA51A"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003098E9"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11.0</w:t>
            </w:r>
          </w:p>
        </w:tc>
        <w:tc>
          <w:tcPr>
            <w:tcW w:w="1015" w:type="dxa"/>
            <w:tcBorders>
              <w:top w:val="nil"/>
              <w:left w:val="nil"/>
              <w:bottom w:val="single" w:sz="4" w:space="0" w:color="auto"/>
              <w:right w:val="single" w:sz="4" w:space="0" w:color="auto"/>
            </w:tcBorders>
            <w:shd w:val="clear" w:color="auto" w:fill="auto"/>
            <w:noWrap/>
            <w:vAlign w:val="center"/>
            <w:hideMark/>
          </w:tcPr>
          <w:p w14:paraId="6366DA8A"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14.0</w:t>
            </w:r>
          </w:p>
        </w:tc>
        <w:tc>
          <w:tcPr>
            <w:tcW w:w="1015" w:type="dxa"/>
            <w:tcBorders>
              <w:top w:val="nil"/>
              <w:left w:val="nil"/>
              <w:bottom w:val="single" w:sz="4" w:space="0" w:color="auto"/>
              <w:right w:val="single" w:sz="4" w:space="0" w:color="auto"/>
            </w:tcBorders>
            <w:shd w:val="clear" w:color="auto" w:fill="auto"/>
            <w:noWrap/>
            <w:vAlign w:val="center"/>
            <w:hideMark/>
          </w:tcPr>
          <w:p w14:paraId="7BDACD4D"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17.0</w:t>
            </w:r>
          </w:p>
        </w:tc>
        <w:tc>
          <w:tcPr>
            <w:tcW w:w="1015" w:type="dxa"/>
            <w:tcBorders>
              <w:top w:val="nil"/>
              <w:left w:val="nil"/>
              <w:bottom w:val="single" w:sz="4" w:space="0" w:color="auto"/>
              <w:right w:val="single" w:sz="4" w:space="0" w:color="auto"/>
            </w:tcBorders>
            <w:shd w:val="clear" w:color="auto" w:fill="auto"/>
            <w:noWrap/>
            <w:vAlign w:val="center"/>
            <w:hideMark/>
          </w:tcPr>
          <w:p w14:paraId="14030427"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20.1</w:t>
            </w:r>
          </w:p>
        </w:tc>
      </w:tr>
      <w:tr w:rsidR="002E0CD4" w:rsidRPr="002E0CD4" w14:paraId="58FA6718" w14:textId="77777777" w:rsidTr="002E0CD4">
        <w:trPr>
          <w:trHeight w:val="480"/>
          <w:jc w:val="center"/>
        </w:trPr>
        <w:tc>
          <w:tcPr>
            <w:tcW w:w="1680" w:type="dxa"/>
            <w:tcBorders>
              <w:top w:val="nil"/>
              <w:left w:val="single" w:sz="4" w:space="0" w:color="auto"/>
              <w:bottom w:val="single" w:sz="4" w:space="0" w:color="auto"/>
              <w:right w:val="single" w:sz="4" w:space="0" w:color="auto"/>
            </w:tcBorders>
            <w:shd w:val="clear" w:color="auto" w:fill="auto"/>
            <w:vAlign w:val="center"/>
            <w:hideMark/>
          </w:tcPr>
          <w:p w14:paraId="1EB0A4C9"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EIRP</w:t>
            </w:r>
          </w:p>
        </w:tc>
        <w:tc>
          <w:tcPr>
            <w:tcW w:w="960" w:type="dxa"/>
            <w:tcBorders>
              <w:top w:val="nil"/>
              <w:left w:val="nil"/>
              <w:bottom w:val="single" w:sz="4" w:space="0" w:color="auto"/>
              <w:right w:val="single" w:sz="4" w:space="0" w:color="auto"/>
            </w:tcBorders>
            <w:shd w:val="clear" w:color="auto" w:fill="auto"/>
            <w:vAlign w:val="center"/>
            <w:hideMark/>
          </w:tcPr>
          <w:p w14:paraId="79AE861D"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dBm (rms)</w:t>
            </w:r>
          </w:p>
        </w:tc>
        <w:tc>
          <w:tcPr>
            <w:tcW w:w="1015" w:type="dxa"/>
            <w:tcBorders>
              <w:top w:val="nil"/>
              <w:left w:val="nil"/>
              <w:bottom w:val="single" w:sz="4" w:space="0" w:color="auto"/>
              <w:right w:val="single" w:sz="4" w:space="0" w:color="auto"/>
            </w:tcBorders>
            <w:shd w:val="clear" w:color="auto" w:fill="auto"/>
            <w:noWrap/>
            <w:vAlign w:val="center"/>
            <w:hideMark/>
          </w:tcPr>
          <w:p w14:paraId="375BF13C"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14.8</w:t>
            </w:r>
          </w:p>
        </w:tc>
        <w:tc>
          <w:tcPr>
            <w:tcW w:w="1015" w:type="dxa"/>
            <w:tcBorders>
              <w:top w:val="nil"/>
              <w:left w:val="nil"/>
              <w:bottom w:val="single" w:sz="4" w:space="0" w:color="auto"/>
              <w:right w:val="single" w:sz="4" w:space="0" w:color="auto"/>
            </w:tcBorders>
            <w:shd w:val="clear" w:color="auto" w:fill="auto"/>
            <w:noWrap/>
            <w:vAlign w:val="center"/>
            <w:hideMark/>
          </w:tcPr>
          <w:p w14:paraId="5D425772"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20.9</w:t>
            </w:r>
          </w:p>
        </w:tc>
        <w:tc>
          <w:tcPr>
            <w:tcW w:w="1015" w:type="dxa"/>
            <w:tcBorders>
              <w:top w:val="nil"/>
              <w:left w:val="nil"/>
              <w:bottom w:val="single" w:sz="4" w:space="0" w:color="auto"/>
              <w:right w:val="single" w:sz="4" w:space="0" w:color="auto"/>
            </w:tcBorders>
            <w:shd w:val="clear" w:color="auto" w:fill="auto"/>
            <w:noWrap/>
            <w:vAlign w:val="center"/>
            <w:hideMark/>
          </w:tcPr>
          <w:p w14:paraId="5521A9A6"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26.9</w:t>
            </w:r>
          </w:p>
        </w:tc>
        <w:tc>
          <w:tcPr>
            <w:tcW w:w="1015" w:type="dxa"/>
            <w:tcBorders>
              <w:top w:val="nil"/>
              <w:left w:val="nil"/>
              <w:bottom w:val="single" w:sz="4" w:space="0" w:color="auto"/>
              <w:right w:val="single" w:sz="4" w:space="0" w:color="auto"/>
            </w:tcBorders>
            <w:shd w:val="clear" w:color="auto" w:fill="auto"/>
            <w:noWrap/>
            <w:vAlign w:val="center"/>
            <w:hideMark/>
          </w:tcPr>
          <w:p w14:paraId="07761B1A" w14:textId="77777777" w:rsidR="002E0CD4" w:rsidRPr="002E0CD4" w:rsidRDefault="002E0CD4" w:rsidP="002E0CD4">
            <w:pPr>
              <w:spacing w:after="0"/>
              <w:jc w:val="center"/>
              <w:rPr>
                <w:rFonts w:ascii="Arial" w:eastAsia="Times New Roman" w:hAnsi="Arial" w:cs="Arial"/>
                <w:b/>
                <w:bCs/>
                <w:color w:val="000000"/>
                <w:sz w:val="18"/>
                <w:szCs w:val="18"/>
                <w:lang w:eastAsia="fi-FI"/>
              </w:rPr>
            </w:pPr>
            <w:r w:rsidRPr="002E0CD4">
              <w:rPr>
                <w:rFonts w:ascii="Arial" w:eastAsia="Times New Roman" w:hAnsi="Arial" w:cs="Arial"/>
                <w:b/>
                <w:bCs/>
                <w:color w:val="000000"/>
                <w:sz w:val="18"/>
                <w:szCs w:val="18"/>
                <w:lang w:eastAsia="fi-FI"/>
              </w:rPr>
              <w:t>32.9</w:t>
            </w:r>
          </w:p>
        </w:tc>
      </w:tr>
    </w:tbl>
    <w:p w14:paraId="0B33AE96" w14:textId="30CBE39F" w:rsidR="002E0CD4" w:rsidRDefault="002E0CD4" w:rsidP="003B2064"/>
    <w:p w14:paraId="18E82A5F" w14:textId="31E7523F" w:rsidR="00A93208" w:rsidRDefault="00A93208" w:rsidP="003B2064">
      <w:r>
        <w:t>Any additional implementations losses would naturally lower either EIRP or both of the TRP and EIRP metrics.</w:t>
      </w:r>
    </w:p>
    <w:p w14:paraId="48218CC8" w14:textId="5ACA7D51" w:rsidR="002E0CD4" w:rsidRDefault="002E0CD4" w:rsidP="003B2064">
      <w:r>
        <w:t xml:space="preserve">From </w:t>
      </w:r>
      <w:r w:rsidR="00A93208">
        <w:t>the analysis</w:t>
      </w:r>
      <w:r>
        <w:t xml:space="preserve"> it can be observed that as long as implementation losses are kept in control it is possible to achieve reasonable output powers. It should be noted that P1dB used in the table may be conservative compared to P1dB achievable from e.g. CMOS technology</w:t>
      </w:r>
      <w:r w:rsidR="00B4172D">
        <w:t>. Therefore, it can be considered that front-end losses are captured in the analysis already by choosing a low output power per PA.</w:t>
      </w:r>
    </w:p>
    <w:p w14:paraId="5BD30841" w14:textId="1EC2FEB1" w:rsidR="002E0CD4" w:rsidRDefault="00B4172D" w:rsidP="003B2064">
      <w:pPr>
        <w:rPr>
          <w:b/>
          <w:bCs/>
        </w:rPr>
      </w:pPr>
      <w:r w:rsidRPr="00B4172D">
        <w:rPr>
          <w:b/>
          <w:bCs/>
        </w:rPr>
        <w:t xml:space="preserve">Observation </w:t>
      </w:r>
      <w:r w:rsidR="003B4733">
        <w:rPr>
          <w:b/>
          <w:bCs/>
        </w:rPr>
        <w:t>1</w:t>
      </w:r>
      <w:r w:rsidRPr="00B4172D">
        <w:rPr>
          <w:b/>
          <w:bCs/>
        </w:rPr>
        <w:t>:</w:t>
      </w:r>
      <w:r>
        <w:rPr>
          <w:b/>
          <w:bCs/>
        </w:rPr>
        <w:t xml:space="preserve"> Implementation losses need special attention to guarantee high EIRP output and therefore good UL link budget. </w:t>
      </w:r>
    </w:p>
    <w:p w14:paraId="73F982CC" w14:textId="7568BE8E" w:rsidR="00B4172D" w:rsidRPr="00B4172D" w:rsidRDefault="00B4172D" w:rsidP="003B2064">
      <w:pPr>
        <w:rPr>
          <w:b/>
          <w:bCs/>
        </w:rPr>
      </w:pPr>
      <w:r>
        <w:rPr>
          <w:b/>
          <w:bCs/>
        </w:rPr>
        <w:t>Proposal 1: RAN4 strives to keep UE implementation loss budget reasonably small for NR operation above 52.6 GHz to ensure good UL link budget.</w:t>
      </w:r>
    </w:p>
    <w:bookmarkEnd w:id="0"/>
    <w:p w14:paraId="784233CB" w14:textId="621AD408" w:rsidR="001A529A" w:rsidRDefault="003B4733" w:rsidP="001A529A">
      <w:pPr>
        <w:pStyle w:val="Heading2"/>
        <w:overflowPunct w:val="0"/>
        <w:autoSpaceDE w:val="0"/>
        <w:autoSpaceDN w:val="0"/>
        <w:adjustRightInd w:val="0"/>
        <w:textAlignment w:val="baseline"/>
        <w:rPr>
          <w:sz w:val="24"/>
          <w:lang w:val="en-US"/>
        </w:rPr>
      </w:pPr>
      <w:r>
        <w:rPr>
          <w:sz w:val="24"/>
          <w:lang w:val="en-US"/>
        </w:rPr>
        <w:t>Co-existence performance</w:t>
      </w:r>
    </w:p>
    <w:p w14:paraId="305C4695" w14:textId="782527EA" w:rsidR="001A529A" w:rsidRPr="003B4733" w:rsidDel="001A529A" w:rsidRDefault="6EB4082C" w:rsidP="58B0F71D">
      <w:pPr>
        <w:rPr>
          <w:rFonts w:eastAsia="Times New Roman"/>
          <w:color w:val="000000" w:themeColor="text1"/>
          <w:lang w:val="en-US"/>
        </w:rPr>
      </w:pPr>
      <w:r w:rsidRPr="003B4733">
        <w:rPr>
          <w:rFonts w:eastAsia="Times New Roman"/>
          <w:color w:val="000000" w:themeColor="text1"/>
          <w:lang w:val="en-US"/>
        </w:rPr>
        <w:t xml:space="preserve">One major part of the work in defining requirements for a new frequency range is to run co-existence simulations to find out what is the required ACLR and ACS performance required to guarantee co-existence between operators </w:t>
      </w:r>
      <w:r w:rsidR="5018EE13" w:rsidRPr="003B4733">
        <w:rPr>
          <w:rFonts w:eastAsia="Times New Roman"/>
          <w:color w:val="000000" w:themeColor="text1"/>
          <w:lang w:val="en-US"/>
        </w:rPr>
        <w:t>in the network. Co-existence study for 45 GHz and 70 GHz frequency range was already done as part of NR study item, and the parameters used in the study reflect the device characteristics sufficientl</w:t>
      </w:r>
      <w:r w:rsidR="0CC84D49" w:rsidRPr="003B4733">
        <w:rPr>
          <w:rFonts w:eastAsia="Times New Roman"/>
          <w:color w:val="000000" w:themeColor="text1"/>
          <w:lang w:val="en-US"/>
        </w:rPr>
        <w:t>y well. Therefore, we propose that no new co-existence simulation study is done, but instead the applicable ACLR and ACS performance for UEs is extracted from co-existence study results documented in TR 38.803.</w:t>
      </w:r>
    </w:p>
    <w:p w14:paraId="3E780640" w14:textId="6E2E7109" w:rsidR="001A529A" w:rsidRPr="003B4733" w:rsidDel="001A529A" w:rsidRDefault="3C3097E8" w:rsidP="58B0F71D">
      <w:pPr>
        <w:rPr>
          <w:rFonts w:eastAsia="Times New Roman"/>
          <w:color w:val="000000" w:themeColor="text1"/>
          <w:lang w:val="en-US"/>
        </w:rPr>
      </w:pPr>
      <w:r w:rsidRPr="003B4733">
        <w:rPr>
          <w:rFonts w:eastAsia="Times New Roman"/>
          <w:b/>
          <w:bCs/>
          <w:color w:val="000000" w:themeColor="text1"/>
        </w:rPr>
        <w:t xml:space="preserve">Observation </w:t>
      </w:r>
      <w:r w:rsidR="003B4733" w:rsidRPr="003B4733">
        <w:rPr>
          <w:rFonts w:eastAsia="Times New Roman"/>
          <w:b/>
          <w:bCs/>
          <w:color w:val="000000" w:themeColor="text1"/>
        </w:rPr>
        <w:t>2</w:t>
      </w:r>
      <w:r w:rsidRPr="003B4733">
        <w:rPr>
          <w:rFonts w:eastAsia="Times New Roman"/>
          <w:b/>
          <w:bCs/>
          <w:color w:val="000000" w:themeColor="text1"/>
        </w:rPr>
        <w:t>: Co-existence study for this frequency range has already been documented in TR 38.803</w:t>
      </w:r>
    </w:p>
    <w:p w14:paraId="28BED354" w14:textId="64D17BF7" w:rsidR="001A529A" w:rsidRDefault="3C3097E8" w:rsidP="58B0F71D">
      <w:pPr>
        <w:rPr>
          <w:rFonts w:eastAsia="Times New Roman"/>
          <w:b/>
          <w:bCs/>
          <w:color w:val="000000" w:themeColor="text1"/>
        </w:rPr>
      </w:pPr>
      <w:r w:rsidRPr="7FEEF213">
        <w:rPr>
          <w:rFonts w:eastAsia="Times New Roman"/>
          <w:b/>
          <w:bCs/>
          <w:color w:val="000000" w:themeColor="text1"/>
        </w:rPr>
        <w:t xml:space="preserve">Proposal </w:t>
      </w:r>
      <w:r w:rsidR="003B4733" w:rsidRPr="7FEEF213">
        <w:rPr>
          <w:rFonts w:eastAsia="Times New Roman"/>
          <w:b/>
          <w:bCs/>
          <w:color w:val="000000" w:themeColor="text1"/>
        </w:rPr>
        <w:t>2</w:t>
      </w:r>
      <w:r w:rsidRPr="7FEEF213">
        <w:rPr>
          <w:rFonts w:eastAsia="Times New Roman"/>
          <w:b/>
          <w:bCs/>
          <w:color w:val="000000" w:themeColor="text1"/>
        </w:rPr>
        <w:t>: Extract the ACLR and ACS requirements from TR 38.803</w:t>
      </w:r>
    </w:p>
    <w:p w14:paraId="7925343F" w14:textId="5D1AA079" w:rsidR="5B99ACEC" w:rsidRDefault="5B99ACEC" w:rsidP="2A1C168C">
      <w:pPr>
        <w:rPr>
          <w:rFonts w:eastAsia="Times New Roman"/>
          <w:color w:val="000000" w:themeColor="text1"/>
        </w:rPr>
      </w:pPr>
      <w:r w:rsidRPr="2A1C168C">
        <w:rPr>
          <w:rFonts w:eastAsia="Times New Roman"/>
          <w:color w:val="000000" w:themeColor="text1"/>
        </w:rPr>
        <w:t>The corresponding text proposal to TR 38.808 to capture the co-existence study considerations is part of companion contribution [5].</w:t>
      </w:r>
    </w:p>
    <w:p w14:paraId="7BA3A8B0" w14:textId="053EC860" w:rsidR="00A93208" w:rsidRDefault="00A93208" w:rsidP="00A93208">
      <w:pPr>
        <w:pStyle w:val="Heading2"/>
        <w:overflowPunct w:val="0"/>
        <w:autoSpaceDE w:val="0"/>
        <w:autoSpaceDN w:val="0"/>
        <w:adjustRightInd w:val="0"/>
        <w:textAlignment w:val="baseline"/>
        <w:rPr>
          <w:sz w:val="24"/>
          <w:lang w:val="en-US"/>
        </w:rPr>
      </w:pPr>
      <w:r>
        <w:rPr>
          <w:sz w:val="24"/>
          <w:lang w:val="en-US"/>
        </w:rPr>
        <w:t>Measurement bandwidths</w:t>
      </w:r>
    </w:p>
    <w:p w14:paraId="538DA299" w14:textId="19D21276" w:rsidR="00A93208" w:rsidRDefault="00A93208" w:rsidP="58B0F71D">
      <w:pPr>
        <w:rPr>
          <w:rFonts w:eastAsia="Times New Roman"/>
          <w:color w:val="000000" w:themeColor="text1"/>
          <w:lang w:val="en-US"/>
        </w:rPr>
      </w:pPr>
      <w:r>
        <w:rPr>
          <w:rFonts w:eastAsia="Times New Roman"/>
          <w:color w:val="000000" w:themeColor="text1"/>
          <w:lang w:val="en-US"/>
        </w:rPr>
        <w:t xml:space="preserve">In RAN4#97-e a way forward was agreed </w:t>
      </w:r>
      <w:r w:rsidR="005F608C">
        <w:rPr>
          <w:rFonts w:eastAsia="Times New Roman"/>
          <w:color w:val="000000" w:themeColor="text1"/>
          <w:lang w:val="en-US"/>
        </w:rPr>
        <w:t>that observations on potential measurement bandwidth step increases can be captured in the SI [4]. Firstly, it is important to note that spectrum regulations may specify emission limits with specific measurement bandwidth and therefore regulations need to be taken into account when measurement bandwidth is considered.</w:t>
      </w:r>
    </w:p>
    <w:p w14:paraId="4B4BBCBD" w14:textId="478CDA3C" w:rsidR="005F608C" w:rsidRPr="005F608C" w:rsidDel="001A529A" w:rsidRDefault="005F608C" w:rsidP="58B0F71D">
      <w:pPr>
        <w:rPr>
          <w:rFonts w:eastAsia="Times New Roman"/>
          <w:b/>
          <w:bCs/>
          <w:color w:val="000000" w:themeColor="text1"/>
          <w:lang w:val="en-US"/>
        </w:rPr>
      </w:pPr>
      <w:r w:rsidRPr="005F608C">
        <w:rPr>
          <w:rFonts w:eastAsia="Times New Roman"/>
          <w:b/>
          <w:bCs/>
          <w:color w:val="000000" w:themeColor="text1"/>
          <w:lang w:val="en-US"/>
        </w:rPr>
        <w:t>Observation 3: Regulations need to be taken into account when measurement bandwidth is considered.</w:t>
      </w:r>
    </w:p>
    <w:p w14:paraId="1F4BB116" w14:textId="399BA520" w:rsidR="005F608C" w:rsidRDefault="005F608C" w:rsidP="005F608C">
      <w:pPr>
        <w:tabs>
          <w:tab w:val="left" w:pos="1896"/>
        </w:tabs>
        <w:spacing w:after="0"/>
        <w:rPr>
          <w:iCs/>
          <w:lang w:eastAsia="x-none"/>
        </w:rPr>
      </w:pPr>
      <w:r>
        <w:rPr>
          <w:iCs/>
          <w:lang w:eastAsia="x-none"/>
        </w:rPr>
        <w:lastRenderedPageBreak/>
        <w:t xml:space="preserve">From technical perspective, measurement bandwidth should be reasonable compared to the bandwidths of the spectral components that are intended to be captured. If the intention is to observe the very highest peak of a wideband emission, narrow measurement bandwidth is still needed. If the intention is more to capture the total power of some spectral content, then it is sufficient that measurement bandwidth is similar to the signal to be captured. </w:t>
      </w:r>
    </w:p>
    <w:p w14:paraId="231A8276" w14:textId="5041AF37" w:rsidR="005F608C" w:rsidRDefault="005F608C" w:rsidP="005F608C">
      <w:pPr>
        <w:tabs>
          <w:tab w:val="left" w:pos="1896"/>
        </w:tabs>
        <w:spacing w:after="0"/>
        <w:rPr>
          <w:iCs/>
          <w:lang w:eastAsia="x-none"/>
        </w:rPr>
      </w:pPr>
    </w:p>
    <w:p w14:paraId="02EBC32D" w14:textId="19CBB5D6" w:rsidR="005F608C" w:rsidRDefault="005F608C" w:rsidP="005F608C">
      <w:pPr>
        <w:tabs>
          <w:tab w:val="left" w:pos="1896"/>
        </w:tabs>
        <w:spacing w:after="0"/>
        <w:rPr>
          <w:iCs/>
          <w:lang w:eastAsia="x-none"/>
        </w:rPr>
      </w:pPr>
      <w:r>
        <w:rPr>
          <w:iCs/>
          <w:lang w:eastAsia="x-none"/>
        </w:rPr>
        <w:t xml:space="preserve">For NR operation from 52.6 to 71 GHz, subcarrier spacings range from 120 kHz to 960 kHz. Therefore, the bandwidth of a single resource block, consisting of 12 subcarriers, ranges from </w:t>
      </w:r>
      <w:r w:rsidR="00FA72EC">
        <w:rPr>
          <w:iCs/>
          <w:lang w:eastAsia="x-none"/>
        </w:rPr>
        <w:t>1.44 MHz to 11.52 MHz. For these RB bandwidths, 3</w:t>
      </w:r>
      <w:r w:rsidR="00FA72EC" w:rsidRPr="00FA72EC">
        <w:rPr>
          <w:iCs/>
          <w:vertAlign w:val="superscript"/>
          <w:lang w:eastAsia="x-none"/>
        </w:rPr>
        <w:t>rd</w:t>
      </w:r>
      <w:r w:rsidR="00FA72EC">
        <w:rPr>
          <w:iCs/>
          <w:lang w:eastAsia="x-none"/>
        </w:rPr>
        <w:t xml:space="preserve"> order intermodulation component resulting from 1RB allocation can extend up to 4.32 to 34.56 MHz. Therefore, using 1 MHz measurement bandwidth does not seem reasonable especially for wide subcarrier spacings.</w:t>
      </w:r>
    </w:p>
    <w:p w14:paraId="38B3DEAB" w14:textId="77777777" w:rsidR="00FA72EC" w:rsidRDefault="00FA72EC" w:rsidP="005F608C">
      <w:pPr>
        <w:tabs>
          <w:tab w:val="left" w:pos="1896"/>
        </w:tabs>
        <w:spacing w:after="0"/>
        <w:rPr>
          <w:iCs/>
          <w:lang w:eastAsia="x-none"/>
        </w:rPr>
      </w:pPr>
    </w:p>
    <w:p w14:paraId="370B9C66" w14:textId="53BF561D" w:rsidR="00FA72EC" w:rsidRDefault="00FA72EC" w:rsidP="005F608C">
      <w:pPr>
        <w:tabs>
          <w:tab w:val="left" w:pos="1896"/>
        </w:tabs>
        <w:spacing w:after="0"/>
        <w:rPr>
          <w:b/>
          <w:bCs/>
          <w:iCs/>
          <w:lang w:eastAsia="x-none"/>
        </w:rPr>
      </w:pPr>
      <w:r w:rsidRPr="00FA72EC">
        <w:rPr>
          <w:b/>
          <w:bCs/>
          <w:iCs/>
          <w:lang w:eastAsia="x-none"/>
        </w:rPr>
        <w:t>Observation 4:</w:t>
      </w:r>
      <w:r>
        <w:rPr>
          <w:b/>
          <w:bCs/>
          <w:iCs/>
          <w:lang w:eastAsia="x-none"/>
        </w:rPr>
        <w:t xml:space="preserve"> Emissions due to non-linearities are typically much wider than the common 1 MHz measurement bandwidth and increasing MBW appears practical especially for wide subcarrier spacings, like 960 kHz.</w:t>
      </w:r>
    </w:p>
    <w:p w14:paraId="6E57837A" w14:textId="35D4310D" w:rsidR="00FA72EC" w:rsidRDefault="00FA72EC" w:rsidP="005F608C">
      <w:pPr>
        <w:tabs>
          <w:tab w:val="left" w:pos="1896"/>
        </w:tabs>
        <w:spacing w:after="0"/>
        <w:rPr>
          <w:b/>
          <w:bCs/>
          <w:iCs/>
          <w:lang w:eastAsia="x-none"/>
        </w:rPr>
      </w:pPr>
    </w:p>
    <w:p w14:paraId="286A9E0F" w14:textId="41004A28" w:rsidR="00FA72EC" w:rsidRDefault="00FA72EC" w:rsidP="005F608C">
      <w:pPr>
        <w:tabs>
          <w:tab w:val="left" w:pos="1896"/>
        </w:tabs>
        <w:spacing w:after="0"/>
        <w:rPr>
          <w:b/>
          <w:bCs/>
          <w:iCs/>
          <w:lang w:eastAsia="x-none"/>
        </w:rPr>
      </w:pPr>
      <w:r>
        <w:rPr>
          <w:b/>
          <w:bCs/>
          <w:iCs/>
          <w:lang w:eastAsia="x-none"/>
        </w:rPr>
        <w:t>Proposal 3: Consider specifying wider measurement bandwidth than 1 MHz at least for 960 kHz SCS in case regulatory requirements allow it.</w:t>
      </w:r>
    </w:p>
    <w:p w14:paraId="16362272" w14:textId="4C6613A4" w:rsidR="00FA72EC" w:rsidRDefault="00FA72EC" w:rsidP="005F608C">
      <w:pPr>
        <w:tabs>
          <w:tab w:val="left" w:pos="1896"/>
        </w:tabs>
        <w:spacing w:after="0"/>
        <w:rPr>
          <w:b/>
          <w:bCs/>
          <w:iCs/>
          <w:lang w:eastAsia="x-none"/>
        </w:rPr>
      </w:pPr>
    </w:p>
    <w:p w14:paraId="0CDE29BA" w14:textId="2910B023" w:rsidR="00385118" w:rsidRDefault="00385118" w:rsidP="00385118">
      <w:pPr>
        <w:pStyle w:val="Heading2"/>
        <w:overflowPunct w:val="0"/>
        <w:autoSpaceDE w:val="0"/>
        <w:autoSpaceDN w:val="0"/>
        <w:adjustRightInd w:val="0"/>
        <w:textAlignment w:val="baseline"/>
        <w:rPr>
          <w:sz w:val="24"/>
          <w:lang w:val="en-US"/>
        </w:rPr>
      </w:pPr>
      <w:r>
        <w:rPr>
          <w:sz w:val="24"/>
          <w:lang w:val="en-US"/>
        </w:rPr>
        <w:t>Transient time</w:t>
      </w:r>
    </w:p>
    <w:p w14:paraId="0041F2AE" w14:textId="176F8414" w:rsidR="00385118" w:rsidRPr="00385118" w:rsidRDefault="00385118" w:rsidP="00385118">
      <w:pPr>
        <w:rPr>
          <w:lang w:val="en-US" w:eastAsia="zh-CN"/>
        </w:rPr>
      </w:pPr>
      <w:r>
        <w:rPr>
          <w:lang w:val="en-US" w:eastAsia="zh-CN"/>
        </w:rPr>
        <w:t>Part of agreements in [4] were also to provide input on improved transient period. Faster transient times are needed as in the start of a transmission, the transient time will eat into the usable symbol time, which will have impact on demodulation performance. Therefore</w:t>
      </w:r>
      <w:r w:rsidR="00A20D10">
        <w:rPr>
          <w:lang w:val="en-US" w:eastAsia="zh-CN"/>
        </w:rPr>
        <w:t>,</w:t>
      </w:r>
      <w:r>
        <w:rPr>
          <w:lang w:val="en-US" w:eastAsia="zh-CN"/>
        </w:rPr>
        <w:t xml:space="preserve"> </w:t>
      </w:r>
      <w:r w:rsidR="00A20D10">
        <w:rPr>
          <w:lang w:val="en-US" w:eastAsia="zh-CN"/>
        </w:rPr>
        <w:t>improvement to transient time is needed to minimize system impacts.</w:t>
      </w:r>
    </w:p>
    <w:p w14:paraId="030C607C" w14:textId="41E7DBD3" w:rsidR="00385118" w:rsidRPr="00FA72EC" w:rsidRDefault="00385118" w:rsidP="005F608C">
      <w:pPr>
        <w:tabs>
          <w:tab w:val="left" w:pos="1896"/>
        </w:tabs>
        <w:spacing w:after="0"/>
        <w:rPr>
          <w:b/>
          <w:bCs/>
          <w:iCs/>
          <w:lang w:eastAsia="x-none"/>
        </w:rPr>
      </w:pPr>
      <w:r>
        <w:rPr>
          <w:b/>
          <w:bCs/>
          <w:iCs/>
          <w:lang w:eastAsia="x-none"/>
        </w:rPr>
        <w:t>Proposal 4: RAN4 sh</w:t>
      </w:r>
      <w:r w:rsidR="00A20D10">
        <w:rPr>
          <w:b/>
          <w:bCs/>
          <w:iCs/>
          <w:lang w:eastAsia="x-none"/>
        </w:rPr>
        <w:t>all</w:t>
      </w:r>
      <w:r>
        <w:rPr>
          <w:b/>
          <w:bCs/>
          <w:iCs/>
          <w:lang w:eastAsia="x-none"/>
        </w:rPr>
        <w:t xml:space="preserve"> strive to improve UE transient time for NR operation from 52.6 to 71 GHz</w:t>
      </w:r>
    </w:p>
    <w:p w14:paraId="3A7886CD" w14:textId="13C0C4CA" w:rsidR="0012171E" w:rsidRPr="00B53A40" w:rsidRDefault="00065A7B" w:rsidP="005507CC">
      <w:pPr>
        <w:pStyle w:val="Heading1"/>
        <w:rPr>
          <w:lang w:val="en-US" w:eastAsia="zh-CN"/>
        </w:rPr>
      </w:pPr>
      <w:r w:rsidRPr="00B53A40">
        <w:rPr>
          <w:lang w:val="en-US" w:eastAsia="zh-CN"/>
        </w:rPr>
        <w:t>Conclusion</w:t>
      </w:r>
      <w:r w:rsidR="009E2215" w:rsidRPr="00B53A40">
        <w:rPr>
          <w:lang w:val="en-US" w:eastAsia="zh-CN"/>
        </w:rPr>
        <w:t xml:space="preserve"> </w:t>
      </w:r>
    </w:p>
    <w:p w14:paraId="065EDCEF" w14:textId="5B2C9DFD" w:rsidR="009E2215" w:rsidRDefault="002A3E16" w:rsidP="009E2215">
      <w:pPr>
        <w:rPr>
          <w:lang w:val="en-US" w:eastAsia="zh-CN"/>
        </w:rPr>
      </w:pPr>
      <w:r>
        <w:rPr>
          <w:lang w:val="en-US" w:eastAsia="zh-CN"/>
        </w:rPr>
        <w:t>In this contribution UE RF aspects for NR operation above 52.6 GHz were discussed and following observations and proposal</w:t>
      </w:r>
      <w:r w:rsidR="00BD5169">
        <w:rPr>
          <w:lang w:val="en-US" w:eastAsia="zh-CN"/>
        </w:rPr>
        <w:t>s</w:t>
      </w:r>
      <w:bookmarkStart w:id="1" w:name="_GoBack"/>
      <w:bookmarkEnd w:id="1"/>
      <w:r>
        <w:rPr>
          <w:lang w:val="en-US" w:eastAsia="zh-CN"/>
        </w:rPr>
        <w:t xml:space="preserve"> were made.</w:t>
      </w:r>
    </w:p>
    <w:p w14:paraId="7FC2D391" w14:textId="77777777" w:rsidR="003B4733" w:rsidRDefault="003B4733" w:rsidP="003B4733">
      <w:pPr>
        <w:rPr>
          <w:b/>
          <w:bCs/>
        </w:rPr>
      </w:pPr>
      <w:r w:rsidRPr="00B4172D">
        <w:rPr>
          <w:b/>
          <w:bCs/>
        </w:rPr>
        <w:t xml:space="preserve">Observation </w:t>
      </w:r>
      <w:r>
        <w:rPr>
          <w:b/>
          <w:bCs/>
        </w:rPr>
        <w:t>1</w:t>
      </w:r>
      <w:r w:rsidRPr="00B4172D">
        <w:rPr>
          <w:b/>
          <w:bCs/>
        </w:rPr>
        <w:t>:</w:t>
      </w:r>
      <w:r>
        <w:rPr>
          <w:b/>
          <w:bCs/>
        </w:rPr>
        <w:t xml:space="preserve"> Implementation losses need special attention to guarantee high EIRP output and therefore good UL link budget. </w:t>
      </w:r>
    </w:p>
    <w:p w14:paraId="703B4D45" w14:textId="77777777" w:rsidR="003B4733" w:rsidRPr="00B4172D" w:rsidRDefault="003B4733" w:rsidP="003B4733">
      <w:pPr>
        <w:rPr>
          <w:b/>
          <w:bCs/>
        </w:rPr>
      </w:pPr>
      <w:r>
        <w:rPr>
          <w:b/>
          <w:bCs/>
        </w:rPr>
        <w:t>Proposal 1: RAN4 strives to keep UE implementation loss budget reasonably small for NR operation above 52.6 GHz to ensure good UL link budget.</w:t>
      </w:r>
    </w:p>
    <w:p w14:paraId="1949A51B" w14:textId="77777777" w:rsidR="003B4733" w:rsidRPr="003B4733" w:rsidDel="001A529A" w:rsidRDefault="003B4733" w:rsidP="003B4733">
      <w:pPr>
        <w:rPr>
          <w:rFonts w:eastAsia="Times New Roman"/>
          <w:color w:val="000000" w:themeColor="text1"/>
          <w:lang w:val="en-US"/>
        </w:rPr>
      </w:pPr>
      <w:r w:rsidRPr="003B4733">
        <w:rPr>
          <w:rFonts w:eastAsia="Times New Roman"/>
          <w:b/>
          <w:bCs/>
          <w:color w:val="000000" w:themeColor="text1"/>
        </w:rPr>
        <w:t>Observation 2: Co-existence study for this frequency range has already been documented in TR 38.803</w:t>
      </w:r>
    </w:p>
    <w:p w14:paraId="394FCDCF" w14:textId="79A3DB90" w:rsidR="003B4733" w:rsidRDefault="003B4733" w:rsidP="003B4733">
      <w:pPr>
        <w:rPr>
          <w:rFonts w:eastAsia="Times New Roman"/>
          <w:b/>
          <w:bCs/>
          <w:color w:val="000000" w:themeColor="text1"/>
        </w:rPr>
      </w:pPr>
      <w:r w:rsidRPr="003B4733">
        <w:rPr>
          <w:rFonts w:eastAsia="Times New Roman"/>
          <w:b/>
          <w:bCs/>
          <w:color w:val="000000" w:themeColor="text1"/>
        </w:rPr>
        <w:t>Proposal 2: Extract the ACLR and ACS requirements from TR 38.803</w:t>
      </w:r>
    </w:p>
    <w:p w14:paraId="77C7B314" w14:textId="77777777" w:rsidR="00385118" w:rsidRPr="005F608C" w:rsidDel="001A529A" w:rsidRDefault="00385118" w:rsidP="00385118">
      <w:pPr>
        <w:rPr>
          <w:rFonts w:eastAsia="Times New Roman"/>
          <w:b/>
          <w:bCs/>
          <w:color w:val="000000" w:themeColor="text1"/>
          <w:lang w:val="en-US"/>
        </w:rPr>
      </w:pPr>
      <w:r w:rsidRPr="005F608C">
        <w:rPr>
          <w:rFonts w:eastAsia="Times New Roman"/>
          <w:b/>
          <w:bCs/>
          <w:color w:val="000000" w:themeColor="text1"/>
          <w:lang w:val="en-US"/>
        </w:rPr>
        <w:t>Observation 3: Regulations need to be taken into account when measurement bandwidth is considered.</w:t>
      </w:r>
    </w:p>
    <w:p w14:paraId="1364847A" w14:textId="77777777" w:rsidR="00385118" w:rsidRDefault="00385118" w:rsidP="00385118">
      <w:pPr>
        <w:tabs>
          <w:tab w:val="left" w:pos="1896"/>
        </w:tabs>
        <w:spacing w:after="0"/>
        <w:rPr>
          <w:b/>
          <w:bCs/>
          <w:iCs/>
          <w:lang w:eastAsia="x-none"/>
        </w:rPr>
      </w:pPr>
      <w:r w:rsidRPr="00FA72EC">
        <w:rPr>
          <w:b/>
          <w:bCs/>
          <w:iCs/>
          <w:lang w:eastAsia="x-none"/>
        </w:rPr>
        <w:t>Observation 4:</w:t>
      </w:r>
      <w:r>
        <w:rPr>
          <w:b/>
          <w:bCs/>
          <w:iCs/>
          <w:lang w:eastAsia="x-none"/>
        </w:rPr>
        <w:t xml:space="preserve"> Emissions due to non-linearities are typically much wider than the common 1 MHz measurement bandwidth and increasing MBW appears practical especially for wide subcarrier spacings, like 960 kHz.</w:t>
      </w:r>
    </w:p>
    <w:p w14:paraId="0487AC70" w14:textId="77777777" w:rsidR="00385118" w:rsidRDefault="00385118" w:rsidP="00385118">
      <w:pPr>
        <w:tabs>
          <w:tab w:val="left" w:pos="1896"/>
        </w:tabs>
        <w:spacing w:after="0"/>
        <w:rPr>
          <w:b/>
          <w:bCs/>
          <w:iCs/>
          <w:lang w:eastAsia="x-none"/>
        </w:rPr>
      </w:pPr>
    </w:p>
    <w:p w14:paraId="1E0EA2C5" w14:textId="32871D9C" w:rsidR="00385118" w:rsidRDefault="00385118" w:rsidP="00385118">
      <w:pPr>
        <w:tabs>
          <w:tab w:val="left" w:pos="1896"/>
        </w:tabs>
        <w:spacing w:after="0"/>
        <w:rPr>
          <w:b/>
          <w:bCs/>
          <w:iCs/>
          <w:lang w:eastAsia="x-none"/>
        </w:rPr>
      </w:pPr>
      <w:r>
        <w:rPr>
          <w:b/>
          <w:bCs/>
          <w:iCs/>
          <w:lang w:eastAsia="x-none"/>
        </w:rPr>
        <w:t>Proposal 3: Consider specifying wider measurement bandwidth than 1 MHz at least for 960 kHz SCS in case regulatory requirements allow it.</w:t>
      </w:r>
    </w:p>
    <w:p w14:paraId="4E02E7F9" w14:textId="77777777" w:rsidR="000A0C20" w:rsidRDefault="000A0C20" w:rsidP="000A0C20">
      <w:pPr>
        <w:tabs>
          <w:tab w:val="left" w:pos="1896"/>
        </w:tabs>
        <w:spacing w:after="0"/>
        <w:rPr>
          <w:b/>
          <w:bCs/>
          <w:iCs/>
          <w:lang w:eastAsia="x-none"/>
        </w:rPr>
      </w:pPr>
    </w:p>
    <w:p w14:paraId="4BE73400" w14:textId="4A0814B5" w:rsidR="003B4733" w:rsidRPr="000A0C20" w:rsidRDefault="000A0C20" w:rsidP="000A0C20">
      <w:pPr>
        <w:tabs>
          <w:tab w:val="left" w:pos="1896"/>
        </w:tabs>
        <w:spacing w:after="0"/>
        <w:rPr>
          <w:b/>
          <w:bCs/>
          <w:iCs/>
          <w:lang w:eastAsia="x-none"/>
        </w:rPr>
      </w:pPr>
      <w:r>
        <w:rPr>
          <w:b/>
          <w:bCs/>
          <w:iCs/>
          <w:lang w:eastAsia="x-none"/>
        </w:rPr>
        <w:t>Proposal 4: RAN4 shall strive to improve UE transient time for NR operation from 52.6 to 71 GHz</w:t>
      </w:r>
    </w:p>
    <w:p w14:paraId="484E4384" w14:textId="51028002" w:rsidR="00656EE7" w:rsidRPr="00B53A40" w:rsidRDefault="00065A7B" w:rsidP="00065A7B">
      <w:pPr>
        <w:pStyle w:val="Heading1"/>
        <w:numPr>
          <w:ilvl w:val="0"/>
          <w:numId w:val="0"/>
        </w:numPr>
        <w:rPr>
          <w:lang w:val="en-US" w:eastAsia="ja-JP"/>
        </w:rPr>
      </w:pPr>
      <w:r w:rsidRPr="00B53A40">
        <w:rPr>
          <w:lang w:val="en-US" w:eastAsia="ja-JP"/>
        </w:rPr>
        <w:lastRenderedPageBreak/>
        <w:t>References</w:t>
      </w:r>
      <w:r w:rsidR="00904574" w:rsidRPr="00B53A40">
        <w:rPr>
          <w:lang w:val="en-US" w:eastAsia="ja-JP"/>
        </w:rPr>
        <w:t xml:space="preserve"> </w:t>
      </w:r>
    </w:p>
    <w:p w14:paraId="39AB2686" w14:textId="77777777" w:rsidR="00E74969" w:rsidRPr="00B53A40" w:rsidRDefault="00E74969" w:rsidP="00E74969">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2" w:name="_Ref31097917"/>
      <w:bookmarkStart w:id="3" w:name="_Ref31097847"/>
      <w:r w:rsidRPr="00B53A40">
        <w:rPr>
          <w:lang w:val="en-US"/>
        </w:rPr>
        <w:t>RP-193259, “</w:t>
      </w:r>
      <w:r w:rsidRPr="00B53A40">
        <w:rPr>
          <w:i/>
          <w:lang w:val="en-US"/>
        </w:rPr>
        <w:t>New SID: Study on supporting NR from 52.6GHz to 71 GHz</w:t>
      </w:r>
      <w:r w:rsidRPr="00B53A40">
        <w:rPr>
          <w:lang w:val="en-US"/>
        </w:rPr>
        <w:t>”, Intel Corporation</w:t>
      </w:r>
      <w:bookmarkEnd w:id="2"/>
    </w:p>
    <w:p w14:paraId="16A7BF35" w14:textId="71608957" w:rsidR="00AE643D" w:rsidRDefault="00E74969" w:rsidP="00AE643D">
      <w:pPr>
        <w:pStyle w:val="ListParagraph"/>
        <w:numPr>
          <w:ilvl w:val="0"/>
          <w:numId w:val="19"/>
        </w:numPr>
        <w:overflowPunct/>
        <w:autoSpaceDE/>
        <w:autoSpaceDN/>
        <w:adjustRightInd/>
        <w:spacing w:after="0" w:line="259" w:lineRule="auto"/>
        <w:ind w:firstLineChars="0"/>
        <w:contextualSpacing/>
        <w:textAlignment w:val="auto"/>
        <w:rPr>
          <w:lang w:val="en-US"/>
        </w:rPr>
      </w:pPr>
      <w:bookmarkStart w:id="4" w:name="_Ref31097951"/>
      <w:r w:rsidRPr="00B53A40">
        <w:rPr>
          <w:lang w:val="en-US"/>
        </w:rPr>
        <w:t>TR 38.807, “</w:t>
      </w:r>
      <w:r w:rsidRPr="00B53A40">
        <w:rPr>
          <w:i/>
          <w:iCs/>
          <w:lang w:val="en-US"/>
        </w:rPr>
        <w:t>Study on requirements for NR beyond 52.6 GHz</w:t>
      </w:r>
      <w:r w:rsidRPr="00B53A40">
        <w:rPr>
          <w:lang w:val="en-US"/>
        </w:rPr>
        <w:t>”, 3GPP</w:t>
      </w:r>
      <w:bookmarkEnd w:id="3"/>
      <w:bookmarkEnd w:id="4"/>
    </w:p>
    <w:p w14:paraId="1F81CFDC" w14:textId="53E68A12" w:rsidR="00A93208" w:rsidRPr="00AE643D" w:rsidRDefault="00A93208" w:rsidP="00AE643D">
      <w:pPr>
        <w:pStyle w:val="ListParagraph"/>
        <w:numPr>
          <w:ilvl w:val="0"/>
          <w:numId w:val="19"/>
        </w:numPr>
        <w:overflowPunct/>
        <w:autoSpaceDE/>
        <w:autoSpaceDN/>
        <w:adjustRightInd/>
        <w:spacing w:after="0" w:line="259" w:lineRule="auto"/>
        <w:ind w:firstLineChars="0"/>
        <w:contextualSpacing/>
        <w:textAlignment w:val="auto"/>
        <w:rPr>
          <w:lang w:val="en-US"/>
        </w:rPr>
      </w:pPr>
      <w:r>
        <w:rPr>
          <w:lang w:val="en-US"/>
        </w:rPr>
        <w:t>R4-2015444, “</w:t>
      </w:r>
      <w:r w:rsidRPr="00A93208">
        <w:rPr>
          <w:i/>
          <w:iCs/>
          <w:lang w:val="en-US"/>
        </w:rPr>
        <w:t>UE RF for NR beyond 52.6 GHz</w:t>
      </w:r>
      <w:r>
        <w:rPr>
          <w:lang w:val="en-US"/>
        </w:rPr>
        <w:t>”, Nokia, Nokia Shanghai Bell</w:t>
      </w:r>
    </w:p>
    <w:p w14:paraId="5707B781" w14:textId="56E4A8F4" w:rsidR="005F608C" w:rsidRDefault="005F608C" w:rsidP="005F608C">
      <w:pPr>
        <w:pStyle w:val="ListParagraph"/>
        <w:numPr>
          <w:ilvl w:val="0"/>
          <w:numId w:val="19"/>
        </w:numPr>
        <w:overflowPunct/>
        <w:autoSpaceDE/>
        <w:autoSpaceDN/>
        <w:adjustRightInd/>
        <w:spacing w:after="0" w:line="259" w:lineRule="auto"/>
        <w:ind w:firstLineChars="0"/>
        <w:contextualSpacing/>
        <w:textAlignment w:val="auto"/>
        <w:rPr>
          <w:lang w:val="en-US"/>
        </w:rPr>
      </w:pPr>
      <w:r w:rsidRPr="7FEEF213">
        <w:rPr>
          <w:lang w:val="en-US"/>
        </w:rPr>
        <w:t>R4-2016988, “</w:t>
      </w:r>
      <w:r w:rsidRPr="7FEEF213">
        <w:rPr>
          <w:i/>
          <w:iCs/>
          <w:lang w:val="en-US"/>
        </w:rPr>
        <w:t>WF on FS 52.6 – 71 GHz Part 2 [141]</w:t>
      </w:r>
      <w:r w:rsidRPr="7FEEF213">
        <w:rPr>
          <w:lang w:val="en-US"/>
        </w:rPr>
        <w:t>”, Intel</w:t>
      </w:r>
    </w:p>
    <w:p w14:paraId="55301DA2" w14:textId="7B95A4A2" w:rsidR="75F60D67" w:rsidRPr="00AB3F85" w:rsidRDefault="75F60D67" w:rsidP="00964D8B">
      <w:pPr>
        <w:pStyle w:val="ListParagraph"/>
        <w:numPr>
          <w:ilvl w:val="0"/>
          <w:numId w:val="19"/>
        </w:numPr>
        <w:overflowPunct/>
        <w:autoSpaceDE/>
        <w:autoSpaceDN/>
        <w:adjustRightInd/>
        <w:spacing w:after="0" w:line="259" w:lineRule="auto"/>
        <w:ind w:firstLineChars="0"/>
        <w:contextualSpacing/>
        <w:textAlignment w:val="auto"/>
        <w:rPr>
          <w:lang w:val="en-US"/>
        </w:rPr>
      </w:pPr>
      <w:r w:rsidRPr="00937F10">
        <w:rPr>
          <w:lang w:val="en-US"/>
        </w:rPr>
        <w:t>R4-210</w:t>
      </w:r>
      <w:r w:rsidR="00937F10" w:rsidRPr="00937F10">
        <w:rPr>
          <w:lang w:val="en-US"/>
        </w:rPr>
        <w:t>2007</w:t>
      </w:r>
      <w:r w:rsidRPr="00937F10">
        <w:rPr>
          <w:lang w:val="en-US"/>
        </w:rPr>
        <w:t>, “</w:t>
      </w:r>
      <w:r w:rsidR="00AB3F85" w:rsidRPr="00937F10">
        <w:rPr>
          <w:i/>
          <w:iCs/>
          <w:lang w:val="en-US"/>
        </w:rPr>
        <w:t>T</w:t>
      </w:r>
      <w:r w:rsidR="00AB3F85" w:rsidRPr="00AB3F85">
        <w:rPr>
          <w:i/>
          <w:iCs/>
          <w:lang w:val="en-US"/>
        </w:rPr>
        <w:t>P to TR 38.808: BS RF for NR beyond 52.6 GHz</w:t>
      </w:r>
      <w:r w:rsidRPr="00AB3F85">
        <w:rPr>
          <w:lang w:val="en-US"/>
        </w:rPr>
        <w:t>”, Nokia, Nokia Shanghai Bell</w:t>
      </w:r>
    </w:p>
    <w:sectPr w:rsidR="75F60D67" w:rsidRPr="00AB3F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docGrid w:type="lines"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19E4FA" w16cex:dateUtc="2020-10-21T07:53:00Z"/>
  <w16cex:commentExtensible w16cex:durableId="63C8FBD0" w16cex:dateUtc="2020-10-21T07:55:00Z"/>
  <w16cex:commentExtensible w16cex:durableId="241A8BB7" w16cex:dateUtc="2020-10-21T08:51:07.938Z"/>
  <w16cex:commentExtensible w16cex:durableId="4CD6506C" w16cex:dateUtc="2020-10-21T08:52:01.529Z"/>
  <w16cex:commentExtensible w16cex:durableId="1EEFE97B" w16cex:dateUtc="2020-10-21T16:17:59.521Z"/>
  <w16cex:commentExtensible w16cex:durableId="52F1A3A0" w16cex:dateUtc="2020-10-21T16:19:38.118Z"/>
  <w16cex:commentExtensible w16cex:durableId="340FA3D8" w16cex:dateUtc="2020-10-21T16:19:50.015Z"/>
  <w16cex:commentExtensible w16cex:durableId="0CF5FAD9" w16cex:dateUtc="2020-10-21T16:20:09.0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7DCCC" w14:textId="77777777" w:rsidR="007731E9" w:rsidRDefault="007731E9" w:rsidP="001E365C">
      <w:pPr>
        <w:spacing w:after="0"/>
      </w:pPr>
      <w:r>
        <w:separator/>
      </w:r>
    </w:p>
  </w:endnote>
  <w:endnote w:type="continuationSeparator" w:id="0">
    <w:p w14:paraId="7CCB5BC5" w14:textId="77777777" w:rsidR="007731E9" w:rsidRDefault="007731E9" w:rsidP="001E365C">
      <w:pPr>
        <w:spacing w:after="0"/>
      </w:pPr>
      <w:r>
        <w:continuationSeparator/>
      </w:r>
    </w:p>
  </w:endnote>
  <w:endnote w:type="continuationNotice" w:id="1">
    <w:p w14:paraId="4DACAA72" w14:textId="77777777" w:rsidR="007731E9" w:rsidRDefault="00773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EB56E9" w:rsidRDefault="00EB5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EB56E9" w:rsidRDefault="00EB56E9">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EB56E9" w:rsidRPr="002C23F3" w:rsidRDefault="00EB56E9"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EB56E9" w:rsidRPr="002C23F3" w:rsidRDefault="00EB56E9"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EB56E9" w:rsidRDefault="00EB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B8B04" w14:textId="77777777" w:rsidR="007731E9" w:rsidRDefault="007731E9" w:rsidP="001E365C">
      <w:pPr>
        <w:spacing w:after="0"/>
      </w:pPr>
      <w:r>
        <w:separator/>
      </w:r>
    </w:p>
  </w:footnote>
  <w:footnote w:type="continuationSeparator" w:id="0">
    <w:p w14:paraId="2651DFEB" w14:textId="77777777" w:rsidR="007731E9" w:rsidRDefault="007731E9" w:rsidP="001E365C">
      <w:pPr>
        <w:spacing w:after="0"/>
      </w:pPr>
      <w:r>
        <w:continuationSeparator/>
      </w:r>
    </w:p>
  </w:footnote>
  <w:footnote w:type="continuationNotice" w:id="1">
    <w:p w14:paraId="06C58FC0" w14:textId="77777777" w:rsidR="007731E9" w:rsidRDefault="007731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EB56E9" w:rsidRDefault="00EB5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EB56E9" w:rsidRDefault="00EB5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EB56E9" w:rsidRDefault="00EB5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2D03A54"/>
    <w:multiLevelType w:val="hybridMultilevel"/>
    <w:tmpl w:val="22D03A54"/>
    <w:lvl w:ilvl="0" w:tplc="DAA231D8">
      <w:start w:val="1"/>
      <w:numFmt w:val="bullet"/>
      <w:lvlText w:val=""/>
      <w:lvlJc w:val="left"/>
      <w:pPr>
        <w:ind w:left="720" w:hanging="360"/>
      </w:pPr>
      <w:rPr>
        <w:rFonts w:ascii="Symbol" w:hAnsi="Symbol" w:hint="default"/>
      </w:rPr>
    </w:lvl>
    <w:lvl w:ilvl="1" w:tplc="BB4A809C">
      <w:start w:val="1"/>
      <w:numFmt w:val="bullet"/>
      <w:lvlText w:val="o"/>
      <w:lvlJc w:val="left"/>
      <w:pPr>
        <w:ind w:left="1440" w:hanging="360"/>
      </w:pPr>
      <w:rPr>
        <w:rFonts w:ascii="Courier New" w:hAnsi="Courier New" w:cs="Courier New" w:hint="default"/>
      </w:rPr>
    </w:lvl>
    <w:lvl w:ilvl="2" w:tplc="75CE05BA">
      <w:start w:val="1"/>
      <w:numFmt w:val="bullet"/>
      <w:lvlText w:val=""/>
      <w:lvlJc w:val="left"/>
      <w:pPr>
        <w:ind w:left="2160" w:hanging="360"/>
      </w:pPr>
      <w:rPr>
        <w:rFonts w:ascii="Wingdings" w:hAnsi="Wingdings" w:hint="default"/>
      </w:rPr>
    </w:lvl>
    <w:lvl w:ilvl="3" w:tplc="00D67858">
      <w:start w:val="1"/>
      <w:numFmt w:val="bullet"/>
      <w:lvlText w:val=""/>
      <w:lvlJc w:val="left"/>
      <w:pPr>
        <w:ind w:left="2880" w:hanging="360"/>
      </w:pPr>
      <w:rPr>
        <w:rFonts w:ascii="Symbol" w:hAnsi="Symbol" w:hint="default"/>
      </w:rPr>
    </w:lvl>
    <w:lvl w:ilvl="4" w:tplc="575281C4">
      <w:start w:val="1"/>
      <w:numFmt w:val="bullet"/>
      <w:lvlText w:val="o"/>
      <w:lvlJc w:val="left"/>
      <w:pPr>
        <w:ind w:left="3600" w:hanging="360"/>
      </w:pPr>
      <w:rPr>
        <w:rFonts w:ascii="Courier New" w:hAnsi="Courier New" w:cs="Courier New" w:hint="default"/>
      </w:rPr>
    </w:lvl>
    <w:lvl w:ilvl="5" w:tplc="A65C935E">
      <w:start w:val="1"/>
      <w:numFmt w:val="bullet"/>
      <w:lvlText w:val=""/>
      <w:lvlJc w:val="left"/>
      <w:pPr>
        <w:ind w:left="4320" w:hanging="360"/>
      </w:pPr>
      <w:rPr>
        <w:rFonts w:ascii="Wingdings" w:hAnsi="Wingdings" w:hint="default"/>
      </w:rPr>
    </w:lvl>
    <w:lvl w:ilvl="6" w:tplc="11FC36A6">
      <w:start w:val="1"/>
      <w:numFmt w:val="bullet"/>
      <w:lvlText w:val=""/>
      <w:lvlJc w:val="left"/>
      <w:pPr>
        <w:ind w:left="5040" w:hanging="360"/>
      </w:pPr>
      <w:rPr>
        <w:rFonts w:ascii="Symbol" w:hAnsi="Symbol" w:hint="default"/>
      </w:rPr>
    </w:lvl>
    <w:lvl w:ilvl="7" w:tplc="078AAB04">
      <w:start w:val="1"/>
      <w:numFmt w:val="bullet"/>
      <w:lvlText w:val="o"/>
      <w:lvlJc w:val="left"/>
      <w:pPr>
        <w:ind w:left="5760" w:hanging="360"/>
      </w:pPr>
      <w:rPr>
        <w:rFonts w:ascii="Courier New" w:hAnsi="Courier New" w:cs="Courier New" w:hint="default"/>
      </w:rPr>
    </w:lvl>
    <w:lvl w:ilvl="8" w:tplc="37947444">
      <w:start w:val="1"/>
      <w:numFmt w:val="bullet"/>
      <w:lvlText w:val=""/>
      <w:lvlJc w:val="left"/>
      <w:pPr>
        <w:ind w:left="6480" w:hanging="360"/>
      </w:pPr>
      <w:rPr>
        <w:rFonts w:ascii="Wingdings" w:hAnsi="Wingdings" w:hint="default"/>
      </w:r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F9113A9"/>
    <w:multiLevelType w:val="hybridMultilevel"/>
    <w:tmpl w:val="C5F86D16"/>
    <w:lvl w:ilvl="0" w:tplc="2B54AC5C">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982D77"/>
    <w:multiLevelType w:val="multilevel"/>
    <w:tmpl w:val="B510ADF6"/>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AD37A3D"/>
    <w:multiLevelType w:val="multilevel"/>
    <w:tmpl w:val="3036D99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3" w15:restartNumberingAfterBreak="0">
    <w:nsid w:val="49E87D76"/>
    <w:multiLevelType w:val="hybridMultilevel"/>
    <w:tmpl w:val="90EAD7AC"/>
    <w:lvl w:ilvl="0" w:tplc="39EC5F12">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A770EBB"/>
    <w:multiLevelType w:val="hybridMultilevel"/>
    <w:tmpl w:val="4A770EBB"/>
    <w:lvl w:ilvl="0" w:tplc="E0A0E8D4">
      <w:start w:val="1"/>
      <w:numFmt w:val="decimal"/>
      <w:lvlText w:val="%1)"/>
      <w:lvlJc w:val="left"/>
      <w:pPr>
        <w:ind w:left="360" w:hanging="360"/>
      </w:pPr>
      <w:rPr>
        <w:rFonts w:hint="default"/>
      </w:rPr>
    </w:lvl>
    <w:lvl w:ilvl="1" w:tplc="C0B0CB10">
      <w:start w:val="1"/>
      <w:numFmt w:val="lowerLetter"/>
      <w:lvlText w:val="%2)"/>
      <w:lvlJc w:val="left"/>
      <w:pPr>
        <w:ind w:left="840" w:hanging="420"/>
      </w:pPr>
    </w:lvl>
    <w:lvl w:ilvl="2" w:tplc="98E4D520">
      <w:start w:val="1"/>
      <w:numFmt w:val="lowerRoman"/>
      <w:lvlText w:val="%3."/>
      <w:lvlJc w:val="right"/>
      <w:pPr>
        <w:ind w:left="1260" w:hanging="420"/>
      </w:pPr>
    </w:lvl>
    <w:lvl w:ilvl="3" w:tplc="EDCA162E">
      <w:start w:val="1"/>
      <w:numFmt w:val="decimal"/>
      <w:lvlText w:val="%4."/>
      <w:lvlJc w:val="left"/>
      <w:pPr>
        <w:ind w:left="1680" w:hanging="420"/>
      </w:pPr>
    </w:lvl>
    <w:lvl w:ilvl="4" w:tplc="471ED254">
      <w:start w:val="1"/>
      <w:numFmt w:val="lowerLetter"/>
      <w:lvlText w:val="%5)"/>
      <w:lvlJc w:val="left"/>
      <w:pPr>
        <w:ind w:left="2100" w:hanging="420"/>
      </w:pPr>
    </w:lvl>
    <w:lvl w:ilvl="5" w:tplc="6622B578">
      <w:start w:val="1"/>
      <w:numFmt w:val="lowerRoman"/>
      <w:lvlText w:val="%6."/>
      <w:lvlJc w:val="right"/>
      <w:pPr>
        <w:ind w:left="2520" w:hanging="420"/>
      </w:pPr>
    </w:lvl>
    <w:lvl w:ilvl="6" w:tplc="60669AF0">
      <w:start w:val="1"/>
      <w:numFmt w:val="decimal"/>
      <w:lvlText w:val="%7."/>
      <w:lvlJc w:val="left"/>
      <w:pPr>
        <w:ind w:left="2940" w:hanging="420"/>
      </w:pPr>
    </w:lvl>
    <w:lvl w:ilvl="7" w:tplc="99665B18">
      <w:start w:val="1"/>
      <w:numFmt w:val="lowerLetter"/>
      <w:lvlText w:val="%8)"/>
      <w:lvlJc w:val="left"/>
      <w:pPr>
        <w:ind w:left="3360" w:hanging="420"/>
      </w:pPr>
    </w:lvl>
    <w:lvl w:ilvl="8" w:tplc="3AAAF0CA">
      <w:start w:val="1"/>
      <w:numFmt w:val="lowerRoman"/>
      <w:lvlText w:val="%9."/>
      <w:lvlJc w:val="right"/>
      <w:pPr>
        <w:ind w:left="3780" w:hanging="420"/>
      </w:pPr>
    </w:lvl>
  </w:abstractNum>
  <w:abstractNum w:abstractNumId="15"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EDF6DBD"/>
    <w:multiLevelType w:val="hybridMultilevel"/>
    <w:tmpl w:val="5EDF6DBD"/>
    <w:lvl w:ilvl="0" w:tplc="7C86AE4A">
      <w:start w:val="4"/>
      <w:numFmt w:val="bullet"/>
      <w:lvlText w:val="-"/>
      <w:lvlJc w:val="left"/>
      <w:pPr>
        <w:ind w:left="720" w:hanging="360"/>
      </w:pPr>
      <w:rPr>
        <w:rFonts w:ascii="Times New Roman" w:eastAsia="Times New Roman" w:hAnsi="Times New Roman" w:cs="Times New Roman" w:hint="default"/>
      </w:rPr>
    </w:lvl>
    <w:lvl w:ilvl="1" w:tplc="E2BCE2D4">
      <w:start w:val="1"/>
      <w:numFmt w:val="bullet"/>
      <w:lvlText w:val="o"/>
      <w:lvlJc w:val="left"/>
      <w:pPr>
        <w:ind w:left="1440" w:hanging="360"/>
      </w:pPr>
      <w:rPr>
        <w:rFonts w:ascii="Courier New" w:hAnsi="Courier New" w:cs="Courier New" w:hint="default"/>
      </w:rPr>
    </w:lvl>
    <w:lvl w:ilvl="2" w:tplc="A5B82068">
      <w:start w:val="1"/>
      <w:numFmt w:val="bullet"/>
      <w:lvlText w:val=""/>
      <w:lvlJc w:val="left"/>
      <w:pPr>
        <w:ind w:left="2160" w:hanging="360"/>
      </w:pPr>
      <w:rPr>
        <w:rFonts w:ascii="Wingdings" w:hAnsi="Wingdings" w:hint="default"/>
      </w:rPr>
    </w:lvl>
    <w:lvl w:ilvl="3" w:tplc="ADECC8CA">
      <w:start w:val="1"/>
      <w:numFmt w:val="bullet"/>
      <w:lvlText w:val=""/>
      <w:lvlJc w:val="left"/>
      <w:pPr>
        <w:ind w:left="2880" w:hanging="360"/>
      </w:pPr>
      <w:rPr>
        <w:rFonts w:ascii="Symbol" w:hAnsi="Symbol" w:hint="default"/>
      </w:rPr>
    </w:lvl>
    <w:lvl w:ilvl="4" w:tplc="633A01C6">
      <w:start w:val="1"/>
      <w:numFmt w:val="bullet"/>
      <w:lvlText w:val="o"/>
      <w:lvlJc w:val="left"/>
      <w:pPr>
        <w:ind w:left="3600" w:hanging="360"/>
      </w:pPr>
      <w:rPr>
        <w:rFonts w:ascii="Courier New" w:hAnsi="Courier New" w:cs="Courier New" w:hint="default"/>
      </w:rPr>
    </w:lvl>
    <w:lvl w:ilvl="5" w:tplc="555E66C2">
      <w:start w:val="1"/>
      <w:numFmt w:val="bullet"/>
      <w:lvlText w:val=""/>
      <w:lvlJc w:val="left"/>
      <w:pPr>
        <w:ind w:left="4320" w:hanging="360"/>
      </w:pPr>
      <w:rPr>
        <w:rFonts w:ascii="Wingdings" w:hAnsi="Wingdings" w:hint="default"/>
      </w:rPr>
    </w:lvl>
    <w:lvl w:ilvl="6" w:tplc="BC1C0688">
      <w:start w:val="1"/>
      <w:numFmt w:val="bullet"/>
      <w:lvlText w:val=""/>
      <w:lvlJc w:val="left"/>
      <w:pPr>
        <w:ind w:left="5040" w:hanging="360"/>
      </w:pPr>
      <w:rPr>
        <w:rFonts w:ascii="Symbol" w:hAnsi="Symbol" w:hint="default"/>
      </w:rPr>
    </w:lvl>
    <w:lvl w:ilvl="7" w:tplc="E5522086">
      <w:start w:val="1"/>
      <w:numFmt w:val="bullet"/>
      <w:lvlText w:val="o"/>
      <w:lvlJc w:val="left"/>
      <w:pPr>
        <w:ind w:left="5760" w:hanging="360"/>
      </w:pPr>
      <w:rPr>
        <w:rFonts w:ascii="Courier New" w:hAnsi="Courier New" w:cs="Courier New" w:hint="default"/>
      </w:rPr>
    </w:lvl>
    <w:lvl w:ilvl="8" w:tplc="FBF0AE58">
      <w:start w:val="1"/>
      <w:numFmt w:val="bullet"/>
      <w:lvlText w:val=""/>
      <w:lvlJc w:val="left"/>
      <w:pPr>
        <w:ind w:left="6480" w:hanging="360"/>
      </w:pPr>
      <w:rPr>
        <w:rFonts w:ascii="Wingdings" w:hAnsi="Wingdings" w:hint="default"/>
      </w:rPr>
    </w:lvl>
  </w:abstractNum>
  <w:abstractNum w:abstractNumId="17"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8"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1"/>
  </w:num>
  <w:num w:numId="2">
    <w:abstractNumId w:val="7"/>
  </w:num>
  <w:num w:numId="3">
    <w:abstractNumId w:val="3"/>
  </w:num>
  <w:num w:numId="4">
    <w:abstractNumId w:val="16"/>
  </w:num>
  <w:num w:numId="5">
    <w:abstractNumId w:val="14"/>
  </w:num>
  <w:num w:numId="6">
    <w:abstractNumId w:val="0"/>
  </w:num>
  <w:num w:numId="7">
    <w:abstractNumId w:val="8"/>
  </w:num>
  <w:num w:numId="8">
    <w:abstractNumId w:val="20"/>
  </w:num>
  <w:num w:numId="9">
    <w:abstractNumId w:val="19"/>
  </w:num>
  <w:num w:numId="10">
    <w:abstractNumId w:val="2"/>
  </w:num>
  <w:num w:numId="11">
    <w:abstractNumId w:val="21"/>
  </w:num>
  <w:num w:numId="12">
    <w:abstractNumId w:val="15"/>
  </w:num>
  <w:num w:numId="13">
    <w:abstractNumId w:val="24"/>
  </w:num>
  <w:num w:numId="14">
    <w:abstractNumId w:val="6"/>
  </w:num>
  <w:num w:numId="15">
    <w:abstractNumId w:val="12"/>
  </w:num>
  <w:num w:numId="16">
    <w:abstractNumId w:val="17"/>
  </w:num>
  <w:num w:numId="17">
    <w:abstractNumId w:val="23"/>
  </w:num>
  <w:num w:numId="18">
    <w:abstractNumId w:val="22"/>
  </w:num>
  <w:num w:numId="19">
    <w:abstractNumId w:val="5"/>
  </w:num>
  <w:num w:numId="20">
    <w:abstractNumId w:val="4"/>
  </w:num>
  <w:num w:numId="21">
    <w:abstractNumId w:val="18"/>
  </w:num>
  <w:num w:numId="22">
    <w:abstractNumId w:val="1"/>
  </w:num>
  <w:num w:numId="23">
    <w:abstractNumId w:val="10"/>
  </w:num>
  <w:num w:numId="24">
    <w:abstractNumId w:val="1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mwqAUAljmrwCwAAAA="/>
  </w:docVars>
  <w:rsids>
    <w:rsidRoot w:val="00282213"/>
    <w:rsid w:val="00000265"/>
    <w:rsid w:val="00004165"/>
    <w:rsid w:val="00017670"/>
    <w:rsid w:val="00020C56"/>
    <w:rsid w:val="00026ACC"/>
    <w:rsid w:val="0003171D"/>
    <w:rsid w:val="00031C1D"/>
    <w:rsid w:val="00032E8C"/>
    <w:rsid w:val="00035C50"/>
    <w:rsid w:val="00040144"/>
    <w:rsid w:val="00043D01"/>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0C20"/>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414"/>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29A"/>
    <w:rsid w:val="001A59CB"/>
    <w:rsid w:val="001C0E88"/>
    <w:rsid w:val="001C1409"/>
    <w:rsid w:val="001C2AE6"/>
    <w:rsid w:val="001C2F96"/>
    <w:rsid w:val="001C3F25"/>
    <w:rsid w:val="001C4A89"/>
    <w:rsid w:val="001C6177"/>
    <w:rsid w:val="001D0363"/>
    <w:rsid w:val="001D3558"/>
    <w:rsid w:val="001D3CEC"/>
    <w:rsid w:val="001D7D94"/>
    <w:rsid w:val="001E01EC"/>
    <w:rsid w:val="001E0A28"/>
    <w:rsid w:val="001E10B3"/>
    <w:rsid w:val="001E365C"/>
    <w:rsid w:val="001E4218"/>
    <w:rsid w:val="001E4444"/>
    <w:rsid w:val="001F0B20"/>
    <w:rsid w:val="00200A62"/>
    <w:rsid w:val="00203740"/>
    <w:rsid w:val="002138EA"/>
    <w:rsid w:val="00213F84"/>
    <w:rsid w:val="00214FBD"/>
    <w:rsid w:val="0021628A"/>
    <w:rsid w:val="002225DD"/>
    <w:rsid w:val="00222897"/>
    <w:rsid w:val="00222B0C"/>
    <w:rsid w:val="0023347F"/>
    <w:rsid w:val="00235394"/>
    <w:rsid w:val="00235577"/>
    <w:rsid w:val="002435CA"/>
    <w:rsid w:val="0024469F"/>
    <w:rsid w:val="00252DB8"/>
    <w:rsid w:val="002537BC"/>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3E16"/>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0CD4"/>
    <w:rsid w:val="002E2CE9"/>
    <w:rsid w:val="002E3BF7"/>
    <w:rsid w:val="002E403E"/>
    <w:rsid w:val="002F158C"/>
    <w:rsid w:val="002F2C22"/>
    <w:rsid w:val="002F4093"/>
    <w:rsid w:val="002F40CB"/>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51D3"/>
    <w:rsid w:val="003260D7"/>
    <w:rsid w:val="00326425"/>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5118"/>
    <w:rsid w:val="00387E66"/>
    <w:rsid w:val="00393042"/>
    <w:rsid w:val="00394AD5"/>
    <w:rsid w:val="0039642D"/>
    <w:rsid w:val="003A2E40"/>
    <w:rsid w:val="003A5F6A"/>
    <w:rsid w:val="003A6139"/>
    <w:rsid w:val="003B0158"/>
    <w:rsid w:val="003B2064"/>
    <w:rsid w:val="003B323D"/>
    <w:rsid w:val="003B40B6"/>
    <w:rsid w:val="003B4733"/>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2003"/>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54AA7"/>
    <w:rsid w:val="00562D5B"/>
    <w:rsid w:val="00564E25"/>
    <w:rsid w:val="005667EF"/>
    <w:rsid w:val="00570E7B"/>
    <w:rsid w:val="00571777"/>
    <w:rsid w:val="00574C59"/>
    <w:rsid w:val="00580FF5"/>
    <w:rsid w:val="0058348E"/>
    <w:rsid w:val="0058519C"/>
    <w:rsid w:val="00586242"/>
    <w:rsid w:val="005864D4"/>
    <w:rsid w:val="0059149A"/>
    <w:rsid w:val="005956EE"/>
    <w:rsid w:val="005A083E"/>
    <w:rsid w:val="005A0C62"/>
    <w:rsid w:val="005A5F53"/>
    <w:rsid w:val="005B0175"/>
    <w:rsid w:val="005B4802"/>
    <w:rsid w:val="005B51E8"/>
    <w:rsid w:val="005C1EA6"/>
    <w:rsid w:val="005C4399"/>
    <w:rsid w:val="005C5F6D"/>
    <w:rsid w:val="005D0A17"/>
    <w:rsid w:val="005D0B99"/>
    <w:rsid w:val="005D12FF"/>
    <w:rsid w:val="005D2345"/>
    <w:rsid w:val="005D308E"/>
    <w:rsid w:val="005D3A48"/>
    <w:rsid w:val="005D7AF8"/>
    <w:rsid w:val="005E366A"/>
    <w:rsid w:val="005E6457"/>
    <w:rsid w:val="005F0E3F"/>
    <w:rsid w:val="005F2145"/>
    <w:rsid w:val="005F608C"/>
    <w:rsid w:val="005F7D66"/>
    <w:rsid w:val="0060013D"/>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41E1"/>
    <w:rsid w:val="00695D85"/>
    <w:rsid w:val="006A30A2"/>
    <w:rsid w:val="006A6D23"/>
    <w:rsid w:val="006B25DE"/>
    <w:rsid w:val="006B79DA"/>
    <w:rsid w:val="006C0629"/>
    <w:rsid w:val="006C1C3B"/>
    <w:rsid w:val="006C4279"/>
    <w:rsid w:val="006C44A6"/>
    <w:rsid w:val="006C4D59"/>
    <w:rsid w:val="006C4E43"/>
    <w:rsid w:val="006C643E"/>
    <w:rsid w:val="006C7CC1"/>
    <w:rsid w:val="006D27E4"/>
    <w:rsid w:val="006D2932"/>
    <w:rsid w:val="006D33EA"/>
    <w:rsid w:val="006D3671"/>
    <w:rsid w:val="006D6502"/>
    <w:rsid w:val="006E0A73"/>
    <w:rsid w:val="006E0FEE"/>
    <w:rsid w:val="006E6C11"/>
    <w:rsid w:val="006F08C9"/>
    <w:rsid w:val="006F0D55"/>
    <w:rsid w:val="006F644E"/>
    <w:rsid w:val="006F7C0C"/>
    <w:rsid w:val="00700755"/>
    <w:rsid w:val="00704963"/>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41B0"/>
    <w:rsid w:val="007655D5"/>
    <w:rsid w:val="00771536"/>
    <w:rsid w:val="007731E9"/>
    <w:rsid w:val="007763C1"/>
    <w:rsid w:val="00777E82"/>
    <w:rsid w:val="00781359"/>
    <w:rsid w:val="00781A52"/>
    <w:rsid w:val="0078318C"/>
    <w:rsid w:val="007835CE"/>
    <w:rsid w:val="00786921"/>
    <w:rsid w:val="00797996"/>
    <w:rsid w:val="00797DB9"/>
    <w:rsid w:val="007A1EAA"/>
    <w:rsid w:val="007A3B4E"/>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06C90"/>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488"/>
    <w:rsid w:val="00893987"/>
    <w:rsid w:val="008963EF"/>
    <w:rsid w:val="0089688E"/>
    <w:rsid w:val="00897C55"/>
    <w:rsid w:val="008A09A0"/>
    <w:rsid w:val="008A1FBE"/>
    <w:rsid w:val="008A3D57"/>
    <w:rsid w:val="008B3194"/>
    <w:rsid w:val="008B5AE7"/>
    <w:rsid w:val="008C0AED"/>
    <w:rsid w:val="008C247E"/>
    <w:rsid w:val="008C320D"/>
    <w:rsid w:val="008C406A"/>
    <w:rsid w:val="008C60E9"/>
    <w:rsid w:val="008D14AD"/>
    <w:rsid w:val="008D1B7C"/>
    <w:rsid w:val="008D5375"/>
    <w:rsid w:val="008D5738"/>
    <w:rsid w:val="008D6657"/>
    <w:rsid w:val="008E11C2"/>
    <w:rsid w:val="008E1F60"/>
    <w:rsid w:val="008E252E"/>
    <w:rsid w:val="008E307E"/>
    <w:rsid w:val="008E5EA2"/>
    <w:rsid w:val="008F4C46"/>
    <w:rsid w:val="008F4DD1"/>
    <w:rsid w:val="008F5CAB"/>
    <w:rsid w:val="008F6056"/>
    <w:rsid w:val="00902C07"/>
    <w:rsid w:val="00904574"/>
    <w:rsid w:val="00905804"/>
    <w:rsid w:val="009101E2"/>
    <w:rsid w:val="00913CCE"/>
    <w:rsid w:val="00915D73"/>
    <w:rsid w:val="00916077"/>
    <w:rsid w:val="009170A2"/>
    <w:rsid w:val="009208A6"/>
    <w:rsid w:val="00924514"/>
    <w:rsid w:val="00927316"/>
    <w:rsid w:val="0093276D"/>
    <w:rsid w:val="00933174"/>
    <w:rsid w:val="00933D12"/>
    <w:rsid w:val="00937065"/>
    <w:rsid w:val="00937F10"/>
    <w:rsid w:val="00940285"/>
    <w:rsid w:val="009415B0"/>
    <w:rsid w:val="00941EF9"/>
    <w:rsid w:val="009476F2"/>
    <w:rsid w:val="00947E7E"/>
    <w:rsid w:val="0095139A"/>
    <w:rsid w:val="00953E16"/>
    <w:rsid w:val="009542AC"/>
    <w:rsid w:val="009569FE"/>
    <w:rsid w:val="009617F7"/>
    <w:rsid w:val="00961BB2"/>
    <w:rsid w:val="00961C38"/>
    <w:rsid w:val="00961F07"/>
    <w:rsid w:val="00962108"/>
    <w:rsid w:val="009638D6"/>
    <w:rsid w:val="009653E1"/>
    <w:rsid w:val="00966F03"/>
    <w:rsid w:val="0097408E"/>
    <w:rsid w:val="00974BB2"/>
    <w:rsid w:val="00974FA7"/>
    <w:rsid w:val="009756E5"/>
    <w:rsid w:val="0097759F"/>
    <w:rsid w:val="00977A8C"/>
    <w:rsid w:val="009833B2"/>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3DDA"/>
    <w:rsid w:val="009F4586"/>
    <w:rsid w:val="009F5607"/>
    <w:rsid w:val="00A0307E"/>
    <w:rsid w:val="00A0758F"/>
    <w:rsid w:val="00A1570A"/>
    <w:rsid w:val="00A20D10"/>
    <w:rsid w:val="00A211B4"/>
    <w:rsid w:val="00A215F9"/>
    <w:rsid w:val="00A22BD2"/>
    <w:rsid w:val="00A235FE"/>
    <w:rsid w:val="00A25961"/>
    <w:rsid w:val="00A33DDF"/>
    <w:rsid w:val="00A34547"/>
    <w:rsid w:val="00A35744"/>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208"/>
    <w:rsid w:val="00A93F9F"/>
    <w:rsid w:val="00A9420E"/>
    <w:rsid w:val="00A97648"/>
    <w:rsid w:val="00AA1CFD"/>
    <w:rsid w:val="00AA1D4E"/>
    <w:rsid w:val="00AA2239"/>
    <w:rsid w:val="00AA33D2"/>
    <w:rsid w:val="00AB0C57"/>
    <w:rsid w:val="00AB1195"/>
    <w:rsid w:val="00AB3F85"/>
    <w:rsid w:val="00AB4182"/>
    <w:rsid w:val="00AB4810"/>
    <w:rsid w:val="00AB78BA"/>
    <w:rsid w:val="00AC1605"/>
    <w:rsid w:val="00AC27DB"/>
    <w:rsid w:val="00AC2FD5"/>
    <w:rsid w:val="00AC6172"/>
    <w:rsid w:val="00AC6D6B"/>
    <w:rsid w:val="00AD7713"/>
    <w:rsid w:val="00AD7736"/>
    <w:rsid w:val="00AD7D18"/>
    <w:rsid w:val="00AE003B"/>
    <w:rsid w:val="00AE10CE"/>
    <w:rsid w:val="00AE1F8D"/>
    <w:rsid w:val="00AE2CD0"/>
    <w:rsid w:val="00AE643D"/>
    <w:rsid w:val="00AE70D4"/>
    <w:rsid w:val="00AE7868"/>
    <w:rsid w:val="00AF0407"/>
    <w:rsid w:val="00AF092A"/>
    <w:rsid w:val="00AF4B16"/>
    <w:rsid w:val="00AF4D8B"/>
    <w:rsid w:val="00AF718B"/>
    <w:rsid w:val="00B0417A"/>
    <w:rsid w:val="00B067CA"/>
    <w:rsid w:val="00B12B26"/>
    <w:rsid w:val="00B15CB4"/>
    <w:rsid w:val="00B15ECC"/>
    <w:rsid w:val="00B163F8"/>
    <w:rsid w:val="00B2472D"/>
    <w:rsid w:val="00B24CA0"/>
    <w:rsid w:val="00B2549F"/>
    <w:rsid w:val="00B25F91"/>
    <w:rsid w:val="00B3075E"/>
    <w:rsid w:val="00B355B7"/>
    <w:rsid w:val="00B37611"/>
    <w:rsid w:val="00B4108D"/>
    <w:rsid w:val="00B4172D"/>
    <w:rsid w:val="00B42363"/>
    <w:rsid w:val="00B42FAF"/>
    <w:rsid w:val="00B5074F"/>
    <w:rsid w:val="00B53A40"/>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274C"/>
    <w:rsid w:val="00B831AE"/>
    <w:rsid w:val="00B833A3"/>
    <w:rsid w:val="00B8446C"/>
    <w:rsid w:val="00B87725"/>
    <w:rsid w:val="00B92A15"/>
    <w:rsid w:val="00B92CBA"/>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5169"/>
    <w:rsid w:val="00BD6404"/>
    <w:rsid w:val="00BD692C"/>
    <w:rsid w:val="00BE33AE"/>
    <w:rsid w:val="00BE3E22"/>
    <w:rsid w:val="00BF046F"/>
    <w:rsid w:val="00BF0905"/>
    <w:rsid w:val="00BF344A"/>
    <w:rsid w:val="00C01D50"/>
    <w:rsid w:val="00C01E54"/>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66F60"/>
    <w:rsid w:val="00C71940"/>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2812"/>
    <w:rsid w:val="00D236F0"/>
    <w:rsid w:val="00D23F16"/>
    <w:rsid w:val="00D24E9B"/>
    <w:rsid w:val="00D26534"/>
    <w:rsid w:val="00D3188C"/>
    <w:rsid w:val="00D35F9B"/>
    <w:rsid w:val="00D36B69"/>
    <w:rsid w:val="00D408DD"/>
    <w:rsid w:val="00D41A82"/>
    <w:rsid w:val="00D45D72"/>
    <w:rsid w:val="00D50F47"/>
    <w:rsid w:val="00D520E4"/>
    <w:rsid w:val="00D538CC"/>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4490"/>
    <w:rsid w:val="00D9735F"/>
    <w:rsid w:val="00D97F0C"/>
    <w:rsid w:val="00DA3A86"/>
    <w:rsid w:val="00DA7FB9"/>
    <w:rsid w:val="00DB04C0"/>
    <w:rsid w:val="00DB3EE1"/>
    <w:rsid w:val="00DB76A9"/>
    <w:rsid w:val="00DC2500"/>
    <w:rsid w:val="00DC3363"/>
    <w:rsid w:val="00DC6F29"/>
    <w:rsid w:val="00DC711F"/>
    <w:rsid w:val="00DC77DC"/>
    <w:rsid w:val="00DD0453"/>
    <w:rsid w:val="00DD075C"/>
    <w:rsid w:val="00DD0C2C"/>
    <w:rsid w:val="00DD19DE"/>
    <w:rsid w:val="00DD2326"/>
    <w:rsid w:val="00DD28BC"/>
    <w:rsid w:val="00DD2970"/>
    <w:rsid w:val="00DD7C30"/>
    <w:rsid w:val="00DE16FC"/>
    <w:rsid w:val="00DE1AD5"/>
    <w:rsid w:val="00DE29D9"/>
    <w:rsid w:val="00DE31F0"/>
    <w:rsid w:val="00DE3D1C"/>
    <w:rsid w:val="00DE414A"/>
    <w:rsid w:val="00DE47BB"/>
    <w:rsid w:val="00DF05D1"/>
    <w:rsid w:val="00DF5CEC"/>
    <w:rsid w:val="00DF6D92"/>
    <w:rsid w:val="00E0227D"/>
    <w:rsid w:val="00E0290C"/>
    <w:rsid w:val="00E0461A"/>
    <w:rsid w:val="00E04B84"/>
    <w:rsid w:val="00E06466"/>
    <w:rsid w:val="00E06FDA"/>
    <w:rsid w:val="00E14D93"/>
    <w:rsid w:val="00E15F54"/>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34DA"/>
    <w:rsid w:val="00E65BC6"/>
    <w:rsid w:val="00E661FF"/>
    <w:rsid w:val="00E7184F"/>
    <w:rsid w:val="00E726EB"/>
    <w:rsid w:val="00E74969"/>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73DF"/>
    <w:rsid w:val="00EB56E9"/>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4B6"/>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7A8"/>
    <w:rsid w:val="00F77EB0"/>
    <w:rsid w:val="00F84D8E"/>
    <w:rsid w:val="00F869AD"/>
    <w:rsid w:val="00F87CDD"/>
    <w:rsid w:val="00F91739"/>
    <w:rsid w:val="00F92465"/>
    <w:rsid w:val="00F933F0"/>
    <w:rsid w:val="00F937A3"/>
    <w:rsid w:val="00F94715"/>
    <w:rsid w:val="00F95E71"/>
    <w:rsid w:val="00F96A3D"/>
    <w:rsid w:val="00F96BD9"/>
    <w:rsid w:val="00F978DC"/>
    <w:rsid w:val="00FA3C96"/>
    <w:rsid w:val="00FA4718"/>
    <w:rsid w:val="00FA5848"/>
    <w:rsid w:val="00FA72EC"/>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209E"/>
    <w:rsid w:val="00FF3A63"/>
    <w:rsid w:val="00FF52D4"/>
    <w:rsid w:val="00FF6AA4"/>
    <w:rsid w:val="00FF6B09"/>
    <w:rsid w:val="00FF7A10"/>
    <w:rsid w:val="04CBFFD2"/>
    <w:rsid w:val="089382BF"/>
    <w:rsid w:val="0B96675E"/>
    <w:rsid w:val="0CC84D49"/>
    <w:rsid w:val="100A8749"/>
    <w:rsid w:val="11103B98"/>
    <w:rsid w:val="187F1F12"/>
    <w:rsid w:val="18C7B6AF"/>
    <w:rsid w:val="1A6F5C95"/>
    <w:rsid w:val="1B3A4E09"/>
    <w:rsid w:val="1CE0D593"/>
    <w:rsid w:val="1D0AE509"/>
    <w:rsid w:val="20B2EA5C"/>
    <w:rsid w:val="23E8781C"/>
    <w:rsid w:val="27BA77A6"/>
    <w:rsid w:val="2A1C168C"/>
    <w:rsid w:val="31774A5C"/>
    <w:rsid w:val="3485F985"/>
    <w:rsid w:val="3C3097E8"/>
    <w:rsid w:val="3CB83DE8"/>
    <w:rsid w:val="3CE6630D"/>
    <w:rsid w:val="3D7D7D38"/>
    <w:rsid w:val="415B2836"/>
    <w:rsid w:val="47F97A64"/>
    <w:rsid w:val="4CABDA1F"/>
    <w:rsid w:val="5018EE13"/>
    <w:rsid w:val="52387C93"/>
    <w:rsid w:val="53EB1BD4"/>
    <w:rsid w:val="55CCD531"/>
    <w:rsid w:val="567567DF"/>
    <w:rsid w:val="58B0F71D"/>
    <w:rsid w:val="5B99ACEC"/>
    <w:rsid w:val="616F16C5"/>
    <w:rsid w:val="62E60B4E"/>
    <w:rsid w:val="6328BB6A"/>
    <w:rsid w:val="64E5F7AC"/>
    <w:rsid w:val="65CEA901"/>
    <w:rsid w:val="65E8B775"/>
    <w:rsid w:val="6C1E41F6"/>
    <w:rsid w:val="6C5C5384"/>
    <w:rsid w:val="6EB4082C"/>
    <w:rsid w:val="70DDCC13"/>
    <w:rsid w:val="73B87C79"/>
    <w:rsid w:val="759B25AF"/>
    <w:rsid w:val="75F60D67"/>
    <w:rsid w:val="7D7DF55D"/>
    <w:rsid w:val="7EDF234C"/>
    <w:rsid w:val="7FEEF2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2D375BE0-8E05-4694-9E41-8B3E89A84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 w:type="numbering" w:customStyle="1" w:styleId="Nokia">
    <w:name w:val="Nokia"/>
    <w:uiPriority w:val="99"/>
    <w:rsid w:val="00B3075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7941">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2132742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5AIRPNAIUNRU-1379959237-1288</_dlc_DocId>
    <_dlc_DocIdUrl xmlns="71c5aaf6-e6ce-465b-b873-5148d2a4c105">
      <Url>https://nokia.sharepoint.com/sites/c5g/projects/phydesign/_layouts/15/DocIdRedir.aspx?ID=5AIRPNAIUNRU-1379959237-1288</Url>
      <Description>5AIRPNAIUNRU-1379959237-1288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SourceType>JournalArticle</b:SourceType>
    <b:Tag>Levine1989</b:Tag>
    <b:Title>A study of microstrip array antennas with the feed network</b:Title>
    <b:Year>1989</b:Year>
    <b:Author>
      <b:Author>
        <b:NameList>
          <b:Person>
            <b:Last>Levine</b:Last>
            <b:First>E.</b:First>
          </b:Person>
          <b:Person>
            <b:Last>Malamud</b:Last>
            <b:First>G.</b:First>
          </b:Person>
          <b:Person>
            <b:Last>Shtrikman</b:Last>
            <b:First>S.</b:First>
          </b:Person>
          <b:Person>
            <b:Last>Treves</b:Last>
            <b:First>David</b:First>
          </b:Person>
        </b:NameList>
      </b:Author>
    </b:Author>
    <b:Pages>426-434</b:Pages>
    <b:Volume>37</b:Volume>
    <b:StandardNumber> ISSN: 0018-926X DOI: 10.1109/8.24162</b:StandardNumber>
    <b:JournalName>Antennas and Propagation, IEEE Transactions on</b:JournalName>
    <b:Issue>4</b:Issue>
    <b:Month>Apr</b:Month>
    <b:BIBTEX_Abstract>The radiation and losses in microstrip antennas with a corporate feed network are studied. A surface current approach is applied in which the electrical currents in the feed lines are modeled as in ideal transmission lines. The free-space radiation and the surface-wave excitation of typical segments in printed feed networks are studied. A four-element array antenna with its printed feed network is analyzed and predicted radiation patterns, directivity, and gain are presented and compared with experimental results. The gain and directivity of large arrays of 16, 64, 256 and 1024 elements are calculated and measurements in the frequency range of 10 to 35 GHz are reported</b:BIBTEX_Abstract>
    <b:BIBTEX_KeyWords>antenna feeders;antenna radiation patterns;microstrip antennas;microwave antenna arrays;10 to 35 GHz;directivity;feed network;four-element array antenna;free-space radiation;gain;losses;microstrip array antennas;printed feed networks;radiation;radiation patterns;surface current approach;surface-wave excitation;Antenna feeds;Antenna radiation patterns;Current distribution;Dielectric losses;Dielectric substrates;Frequency;Microstrip antenna arrays;Microstrip antennas;Pattern analysis;Surface waves</b:BIBTEX_KeyWords>
    <b:RefOrder>58</b:RefOrder>
  </b:Source>
  <b:Source>
    <b:SourceType>ConferenceProceedings</b:SourceType>
    <b:BIBTEX_Entry>inproceedings</b:BIBTEX_Entry>
    <b:Tag>Lamminen2012</b:Tag>
    <b:Title>High gain 60 GHz LTCC chain antenna array with substrate integrated waveguide feed network</b:Title>
    <b:Year>2012</b:Year>
    <b:Author>
      <b:Author>
        <b:NameList>
          <b:Person>
            <b:Last>Lamminen</b:Last>
            <b:First>A.</b:First>
          </b:Person>
          <b:Person>
            <b:Last>Saily</b:Last>
            <b:First>J.</b:First>
          </b:Person>
        </b:NameList>
      </b:Author>
    </b:Author>
    <b:Pages>2569-2573</b:Pages>
    <b:StandardNumber> DOI: 10.1109/EuCAP.2012.6206530</b:StandardNumber>
    <b:BookTitle>Antennas and Propagation (EUCAP), 2012 6th European Conference on</b:BookTitle>
    <b:ConferenceName>Antennas and Propagation (EUCAP), 2012 6th European Conference on</b:ConferenceName>
    <b:Month>March</b:Month>
    <b:BIBTEX_Abstract>A design of a traveling wave chain antenna array operating at 60 GHz frequency band is presented in this paper. The antenna consists of several parallel microstrip chains printed on an LTCC substrate. The array feed network is constructed using substrate integrated waveguide (SIW) technology to minimise the transmission line losses. The presented design is scalable in frequency and in size, and a high antenna gain can be achieved with a large array. A test structure of size 27 mm × 22 mm × 1.1 mm is realised on Ferro A6-M LTCC. The antenna including the WR-15 to SIW transition has the measured maximum gain of 22 dBi at 62 GHz. The simulated maximum radiation efficiency of the antenna alone is 74%.</b:BIBTEX_Abstract>
    <b:BIBTEX_KeyWords>antenna arrays;ceramic packaging;millimetre wave antenna arrays;substrate integrated waveguides;Ferro A6-M LTCC;SIW technology;WR-15;frequency 60 GHz;frequency 62 GHz;high gain LTCC chain antenna array;parallel microstrip chain;radiation efficiency;substrate integrated waveguide feed network;transmission line losses;Antenna arrays;Antenna measurements;Arrays;Feeds;Gain</b:BIBTEX_KeyWords>
    <b:RefOrder>59</b:RefOrder>
  </b:Source>
</b:Sources>
</file>

<file path=customXml/itemProps1.xml><?xml version="1.0" encoding="utf-8"?>
<ds:datastoreItem xmlns:ds="http://schemas.openxmlformats.org/officeDocument/2006/customXml" ds:itemID="{2273DD37-8959-4068-8E0D-D37B86FC2B61}">
  <ds:schemaRefs>
    <ds:schemaRef ds:uri="Microsoft.SharePoint.Taxonomy.ContentTypeSync"/>
  </ds:schemaRefs>
</ds:datastoreItem>
</file>

<file path=customXml/itemProps2.xml><?xml version="1.0" encoding="utf-8"?>
<ds:datastoreItem xmlns:ds="http://schemas.openxmlformats.org/officeDocument/2006/customXml" ds:itemID="{2B212435-3C55-48FB-A791-B43C0E493839}">
  <ds:schemaRefs>
    <ds:schemaRef ds:uri="http://schemas.microsoft.com/sharepoint/events"/>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0B19939-5F21-4E3B-9547-0A45F0978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52FE859-66A4-4C97-AC36-743E799D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897</Words>
  <Characters>7267</Characters>
  <Application>Microsoft Office Word</Application>
  <DocSecurity>0</DocSecurity>
  <Lines>60</Lines>
  <Paragraphs>16</Paragraphs>
  <ScaleCrop>false</ScaleCrop>
  <Company>Microsoft</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NOKIA</cp:lastModifiedBy>
  <cp:revision>22</cp:revision>
  <cp:lastPrinted>2019-04-25T01:09:00Z</cp:lastPrinted>
  <dcterms:created xsi:type="dcterms:W3CDTF">2020-10-20T16:40:00Z</dcterms:created>
  <dcterms:modified xsi:type="dcterms:W3CDTF">2021-01-15T19:04:00Z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0x010100CAC6E578C47D6A4BA19BDCC53867E4A5</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_dlc_DocIdItemGuid">
    <vt:lpwstr>df8faf54-4ce6-4a73-a907-4d433e3fd14f</vt:lpwstr>
  </property>
</Properties>
</file>